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8A69F">
      <w:pPr>
        <w:shd w:val="clear"/>
        <w:autoSpaceDE w:val="0"/>
        <w:autoSpaceDN w:val="0"/>
        <w:adjustRightInd w:val="0"/>
        <w:snapToGrid w:val="0"/>
        <w:spacing w:line="360" w:lineRule="auto"/>
        <w:jc w:val="center"/>
        <w:rPr>
          <w:rFonts w:hint="eastAsia" w:ascii="宋体" w:hAnsi="宋体" w:eastAsia="宋体" w:cs="宋体"/>
          <w:b/>
          <w:bCs/>
          <w:color w:val="auto"/>
          <w:sz w:val="48"/>
          <w:szCs w:val="48"/>
          <w:highlight w:val="none"/>
          <w:lang w:eastAsia="zh-CN"/>
        </w:rPr>
      </w:pPr>
      <w:r>
        <w:rPr>
          <w:rFonts w:hint="eastAsia" w:ascii="宋体" w:hAnsi="宋体" w:cs="宋体"/>
          <w:b/>
          <w:bCs/>
          <w:color w:val="auto"/>
          <w:sz w:val="48"/>
          <w:szCs w:val="48"/>
          <w:highlight w:val="none"/>
          <w:lang w:eastAsia="zh-CN"/>
        </w:rPr>
        <w:t>阜阳市颍科创新投资有限公司中介机构备选库增设会计师事务所服务单位采购项目</w:t>
      </w:r>
    </w:p>
    <w:p w14:paraId="2844625A">
      <w:pPr>
        <w:shd w:val="clear"/>
        <w:autoSpaceDE w:val="0"/>
        <w:autoSpaceDN w:val="0"/>
        <w:adjustRightInd w:val="0"/>
        <w:snapToGrid w:val="0"/>
        <w:spacing w:line="360" w:lineRule="auto"/>
        <w:jc w:val="center"/>
        <w:rPr>
          <w:rFonts w:ascii="宋体" w:hAnsi="宋体" w:cs="宋体"/>
          <w:b/>
          <w:bCs/>
          <w:color w:val="auto"/>
          <w:sz w:val="48"/>
          <w:szCs w:val="48"/>
          <w:highlight w:val="none"/>
        </w:rPr>
      </w:pPr>
    </w:p>
    <w:p w14:paraId="102A9DD2">
      <w:pPr>
        <w:shd w:val="clear"/>
        <w:autoSpaceDE w:val="0"/>
        <w:autoSpaceDN w:val="0"/>
        <w:adjustRightInd w:val="0"/>
        <w:snapToGrid w:val="0"/>
        <w:spacing w:line="360" w:lineRule="auto"/>
        <w:ind w:firstLine="2889" w:firstLineChars="344"/>
        <w:rPr>
          <w:rFonts w:ascii="宋体" w:hAnsi="宋体" w:cs="宋体"/>
          <w:b/>
          <w:bCs/>
          <w:color w:val="auto"/>
          <w:sz w:val="48"/>
          <w:szCs w:val="48"/>
          <w:highlight w:val="none"/>
        </w:rPr>
      </w:pPr>
      <w:r>
        <w:rPr>
          <w:rFonts w:hint="eastAsia" w:ascii="宋体" w:hAnsi="宋体" w:cs="宋体"/>
          <w:b/>
          <w:bCs/>
          <w:color w:val="auto"/>
          <w:spacing w:val="20"/>
          <w:kern w:val="0"/>
          <w:sz w:val="80"/>
          <w:szCs w:val="80"/>
          <w:highlight w:val="none"/>
        </w:rPr>
        <w:t>招标文件</w:t>
      </w:r>
    </w:p>
    <w:p w14:paraId="2FE6F241">
      <w:pPr>
        <w:shd w:val="clear"/>
        <w:autoSpaceDE w:val="0"/>
        <w:autoSpaceDN w:val="0"/>
        <w:adjustRightInd w:val="0"/>
        <w:snapToGrid w:val="0"/>
        <w:spacing w:line="360" w:lineRule="auto"/>
        <w:jc w:val="center"/>
        <w:rPr>
          <w:rFonts w:hint="default" w:ascii="宋体" w:hAnsi="宋体" w:eastAsia="宋体" w:cs="宋体"/>
          <w:b/>
          <w:bCs/>
          <w:color w:val="auto"/>
          <w:spacing w:val="20"/>
          <w:kern w:val="0"/>
          <w:sz w:val="48"/>
          <w:szCs w:val="48"/>
          <w:highlight w:val="none"/>
          <w:u w:val="single"/>
          <w:lang w:val="en-US" w:eastAsia="zh-CN"/>
        </w:rPr>
      </w:pPr>
      <w:r>
        <w:rPr>
          <w:rFonts w:hint="eastAsia" w:ascii="宋体" w:hAnsi="宋体" w:cs="宋体"/>
          <w:b/>
          <w:bCs/>
          <w:color w:val="auto"/>
          <w:spacing w:val="20"/>
          <w:kern w:val="0"/>
          <w:sz w:val="32"/>
          <w:szCs w:val="32"/>
          <w:highlight w:val="none"/>
        </w:rPr>
        <w:t>项目编号：</w:t>
      </w:r>
      <w:r>
        <w:rPr>
          <w:rFonts w:hint="eastAsia" w:ascii="宋体" w:hAnsi="宋体" w:cs="宋体"/>
          <w:b/>
          <w:bCs/>
          <w:color w:val="auto"/>
          <w:sz w:val="40"/>
          <w:szCs w:val="40"/>
          <w:highlight w:val="none"/>
        </w:rPr>
        <w:t>FYTC-ZZCZ-202</w:t>
      </w:r>
      <w:r>
        <w:rPr>
          <w:rFonts w:hint="eastAsia" w:ascii="宋体" w:hAnsi="宋体" w:cs="宋体"/>
          <w:b/>
          <w:bCs/>
          <w:color w:val="auto"/>
          <w:sz w:val="40"/>
          <w:szCs w:val="40"/>
          <w:highlight w:val="none"/>
          <w:lang w:val="en-US" w:eastAsia="zh-CN"/>
        </w:rPr>
        <w:t>5</w:t>
      </w:r>
      <w:r>
        <w:rPr>
          <w:rFonts w:hint="eastAsia" w:ascii="宋体" w:hAnsi="宋体" w:cs="宋体"/>
          <w:b/>
          <w:bCs/>
          <w:color w:val="auto"/>
          <w:sz w:val="40"/>
          <w:szCs w:val="40"/>
          <w:highlight w:val="none"/>
        </w:rPr>
        <w:t>-</w:t>
      </w:r>
      <w:r>
        <w:rPr>
          <w:rFonts w:hint="eastAsia" w:ascii="宋体" w:hAnsi="宋体" w:cs="宋体"/>
          <w:b/>
          <w:bCs/>
          <w:color w:val="auto"/>
          <w:sz w:val="40"/>
          <w:szCs w:val="40"/>
          <w:highlight w:val="none"/>
          <w:lang w:val="en-US" w:eastAsia="zh-CN"/>
        </w:rPr>
        <w:t>014</w:t>
      </w:r>
    </w:p>
    <w:p w14:paraId="73B7D1D6">
      <w:pPr>
        <w:shd w:val="clear"/>
        <w:spacing w:line="360" w:lineRule="auto"/>
        <w:rPr>
          <w:rFonts w:ascii="宋体" w:hAnsi="宋体" w:cs="宋体"/>
          <w:b/>
          <w:bCs/>
          <w:color w:val="auto"/>
          <w:sz w:val="32"/>
          <w:szCs w:val="32"/>
          <w:highlight w:val="none"/>
        </w:rPr>
      </w:pPr>
    </w:p>
    <w:p w14:paraId="69DD1098">
      <w:pPr>
        <w:shd w:val="clear"/>
        <w:spacing w:line="360" w:lineRule="auto"/>
        <w:rPr>
          <w:rFonts w:ascii="宋体" w:hAnsi="宋体" w:cs="宋体"/>
          <w:b/>
          <w:bCs/>
          <w:color w:val="auto"/>
          <w:sz w:val="32"/>
          <w:szCs w:val="32"/>
          <w:highlight w:val="none"/>
        </w:rPr>
      </w:pPr>
    </w:p>
    <w:p w14:paraId="19AD83F6">
      <w:pPr>
        <w:shd w:val="clear"/>
        <w:spacing w:line="360" w:lineRule="auto"/>
        <w:rPr>
          <w:rFonts w:ascii="宋体" w:hAnsi="宋体" w:cs="宋体"/>
          <w:b/>
          <w:bCs/>
          <w:color w:val="auto"/>
          <w:sz w:val="32"/>
          <w:szCs w:val="32"/>
          <w:highlight w:val="none"/>
        </w:rPr>
      </w:pPr>
    </w:p>
    <w:p w14:paraId="1E3270D1">
      <w:pPr>
        <w:shd w:val="clear"/>
        <w:spacing w:line="360" w:lineRule="auto"/>
        <w:rPr>
          <w:rFonts w:ascii="宋体" w:hAnsi="宋体" w:cs="宋体"/>
          <w:b/>
          <w:bCs/>
          <w:color w:val="auto"/>
          <w:sz w:val="32"/>
          <w:szCs w:val="32"/>
          <w:highlight w:val="none"/>
        </w:rPr>
      </w:pPr>
    </w:p>
    <w:p w14:paraId="4FA46045">
      <w:pPr>
        <w:shd w:val="clear"/>
        <w:spacing w:line="360" w:lineRule="auto"/>
        <w:rPr>
          <w:rFonts w:ascii="宋体" w:hAnsi="宋体" w:cs="宋体"/>
          <w:b/>
          <w:bCs/>
          <w:color w:val="auto"/>
          <w:sz w:val="32"/>
          <w:szCs w:val="32"/>
          <w:highlight w:val="none"/>
        </w:rPr>
      </w:pPr>
    </w:p>
    <w:p w14:paraId="24A0A1EB">
      <w:pPr>
        <w:shd w:val="clear"/>
        <w:spacing w:line="360" w:lineRule="auto"/>
        <w:rPr>
          <w:rFonts w:ascii="宋体" w:hAnsi="宋体" w:cs="宋体"/>
          <w:b/>
          <w:bCs/>
          <w:color w:val="auto"/>
          <w:sz w:val="32"/>
          <w:szCs w:val="32"/>
          <w:highlight w:val="none"/>
        </w:rPr>
      </w:pPr>
    </w:p>
    <w:p w14:paraId="2A7491E9">
      <w:pPr>
        <w:shd w:val="clear"/>
        <w:spacing w:line="360" w:lineRule="auto"/>
        <w:rPr>
          <w:rFonts w:ascii="宋体" w:hAnsi="宋体" w:cs="宋体"/>
          <w:b/>
          <w:bCs/>
          <w:color w:val="auto"/>
          <w:sz w:val="32"/>
          <w:szCs w:val="32"/>
          <w:highlight w:val="none"/>
        </w:rPr>
      </w:pPr>
    </w:p>
    <w:p w14:paraId="3EBC81B9">
      <w:pPr>
        <w:shd w:val="clear"/>
        <w:spacing w:line="360" w:lineRule="auto"/>
        <w:ind w:firstLine="640" w:firstLineChars="200"/>
        <w:rPr>
          <w:rFonts w:hint="eastAsia" w:ascii="宋体" w:hAnsi="宋体" w:eastAsia="宋体" w:cs="宋体"/>
          <w:b/>
          <w:bCs/>
          <w:color w:val="auto"/>
          <w:spacing w:val="20"/>
          <w:kern w:val="0"/>
          <w:sz w:val="32"/>
          <w:szCs w:val="32"/>
          <w:highlight w:val="none"/>
          <w:u w:val="single"/>
          <w:lang w:eastAsia="zh-CN"/>
        </w:rPr>
      </w:pPr>
      <w:r>
        <w:rPr>
          <w:rFonts w:hint="eastAsia" w:ascii="宋体" w:hAnsi="宋体" w:cs="宋体"/>
          <w:b/>
          <w:bCs/>
          <w:color w:val="auto"/>
          <w:sz w:val="32"/>
          <w:szCs w:val="32"/>
          <w:highlight w:val="none"/>
        </w:rPr>
        <w:t>招   标   人：</w:t>
      </w:r>
      <w:r>
        <w:rPr>
          <w:rFonts w:hint="eastAsia" w:ascii="宋体" w:hAnsi="宋体" w:cs="宋体"/>
          <w:b/>
          <w:color w:val="auto"/>
          <w:sz w:val="30"/>
          <w:szCs w:val="30"/>
          <w:highlight w:val="none"/>
          <w:u w:val="single"/>
          <w:lang w:eastAsia="zh-CN"/>
        </w:rPr>
        <w:t>阜阳市颍科创新投资有限公司</w:t>
      </w:r>
    </w:p>
    <w:p w14:paraId="7055D05D">
      <w:pPr>
        <w:shd w:val="clear"/>
        <w:spacing w:line="360" w:lineRule="auto"/>
        <w:ind w:firstLine="640" w:firstLineChars="200"/>
        <w:rPr>
          <w:rFonts w:ascii="宋体" w:hAnsi="宋体" w:cs="宋体"/>
          <w:b/>
          <w:bCs/>
          <w:color w:val="auto"/>
          <w:sz w:val="32"/>
          <w:szCs w:val="32"/>
          <w:highlight w:val="none"/>
        </w:rPr>
      </w:pPr>
      <w:r>
        <w:rPr>
          <w:rFonts w:hint="eastAsia" w:ascii="宋体" w:hAnsi="宋体" w:cs="宋体"/>
          <w:b/>
          <w:bCs/>
          <w:color w:val="auto"/>
          <w:sz w:val="32"/>
          <w:szCs w:val="32"/>
          <w:highlight w:val="none"/>
        </w:rPr>
        <w:t>招标代理机构：</w:t>
      </w:r>
      <w:r>
        <w:rPr>
          <w:rFonts w:hint="eastAsia" w:ascii="宋体" w:hAnsi="宋体" w:cs="宋体"/>
          <w:b/>
          <w:bCs/>
          <w:color w:val="auto"/>
          <w:sz w:val="32"/>
          <w:szCs w:val="32"/>
          <w:highlight w:val="none"/>
          <w:u w:val="single"/>
        </w:rPr>
        <w:t>阜阳市同创投资咨询管理有限公司</w:t>
      </w:r>
    </w:p>
    <w:p w14:paraId="6967F5D3">
      <w:pPr>
        <w:shd w:val="clear"/>
        <w:spacing w:line="360" w:lineRule="auto"/>
        <w:jc w:val="left"/>
        <w:rPr>
          <w:rFonts w:ascii="宋体" w:hAnsi="宋体" w:cs="宋体"/>
          <w:b/>
          <w:bCs/>
          <w:color w:val="auto"/>
          <w:sz w:val="32"/>
          <w:szCs w:val="32"/>
          <w:highlight w:val="none"/>
          <w:u w:val="single"/>
        </w:rPr>
      </w:pPr>
      <w:r>
        <w:rPr>
          <w:rFonts w:hint="eastAsia" w:ascii="宋体" w:hAnsi="宋体" w:cs="宋体"/>
          <w:b/>
          <w:bCs/>
          <w:color w:val="auto"/>
          <w:sz w:val="32"/>
          <w:szCs w:val="32"/>
          <w:highlight w:val="none"/>
        </w:rPr>
        <w:t xml:space="preserve"> </w:t>
      </w:r>
    </w:p>
    <w:p w14:paraId="0DB825DE">
      <w:pPr>
        <w:shd w:val="clea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u w:val="single"/>
        </w:rPr>
        <w:t>202</w:t>
      </w:r>
      <w:r>
        <w:rPr>
          <w:rFonts w:hint="eastAsia" w:ascii="宋体" w:hAnsi="宋体" w:cs="宋体"/>
          <w:b/>
          <w:bCs/>
          <w:color w:val="auto"/>
          <w:sz w:val="32"/>
          <w:szCs w:val="32"/>
          <w:highlight w:val="none"/>
          <w:u w:val="single"/>
          <w:lang w:val="en-US" w:eastAsia="zh-CN"/>
        </w:rPr>
        <w:t>5</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rPr>
        <w:t>年</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u w:val="single"/>
          <w:lang w:val="en-US" w:eastAsia="zh-CN"/>
        </w:rPr>
        <w:t>4</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rPr>
        <w:t>月</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u w:val="single"/>
          <w:lang w:val="en-US" w:eastAsia="zh-CN"/>
        </w:rPr>
        <w:t>3</w:t>
      </w:r>
      <w:r>
        <w:rPr>
          <w:rFonts w:hint="eastAsia" w:ascii="宋体" w:hAnsi="宋体" w:cs="宋体"/>
          <w:b/>
          <w:bCs/>
          <w:color w:val="auto"/>
          <w:sz w:val="32"/>
          <w:szCs w:val="32"/>
          <w:highlight w:val="none"/>
          <w:u w:val="single"/>
        </w:rPr>
        <w:t xml:space="preserve"> </w:t>
      </w:r>
      <w:r>
        <w:rPr>
          <w:rFonts w:hint="eastAsia" w:ascii="宋体" w:hAnsi="宋体" w:cs="宋体"/>
          <w:b/>
          <w:bCs/>
          <w:color w:val="auto"/>
          <w:sz w:val="32"/>
          <w:szCs w:val="32"/>
          <w:highlight w:val="none"/>
        </w:rPr>
        <w:t>日</w:t>
      </w:r>
    </w:p>
    <w:p w14:paraId="452565A1">
      <w:pPr>
        <w:shd w:val="clear"/>
        <w:spacing w:after="468" w:afterLines="150" w:line="360" w:lineRule="auto"/>
        <w:ind w:firstLine="437"/>
        <w:jc w:val="center"/>
        <w:rPr>
          <w:rFonts w:ascii="宋体" w:hAnsi="宋体" w:cs="宋体"/>
          <w:b/>
          <w:bCs/>
          <w:color w:val="auto"/>
          <w:sz w:val="44"/>
          <w:szCs w:val="44"/>
          <w:highlight w:val="none"/>
        </w:rPr>
      </w:pPr>
    </w:p>
    <w:p w14:paraId="775A4A53">
      <w:pPr>
        <w:shd w:val="clear"/>
        <w:spacing w:after="468" w:afterLines="150" w:line="360" w:lineRule="auto"/>
        <w:ind w:firstLine="437"/>
        <w:jc w:val="center"/>
        <w:rPr>
          <w:rFonts w:ascii="宋体" w:hAnsi="宋体" w:cs="宋体"/>
          <w:b/>
          <w:bCs/>
          <w:color w:val="auto"/>
          <w:sz w:val="44"/>
          <w:szCs w:val="44"/>
          <w:highlight w:val="none"/>
        </w:rPr>
      </w:pPr>
    </w:p>
    <w:p w14:paraId="0673BE31">
      <w:pPr>
        <w:shd w:val="clear"/>
        <w:spacing w:after="468" w:afterLines="150" w:line="360" w:lineRule="auto"/>
        <w:ind w:firstLine="437"/>
        <w:jc w:val="center"/>
        <w:rPr>
          <w:rFonts w:ascii="宋体" w:hAnsi="宋体" w:cs="宋体"/>
          <w:b/>
          <w:bCs/>
          <w:color w:val="auto"/>
          <w:sz w:val="44"/>
          <w:szCs w:val="44"/>
          <w:highlight w:val="none"/>
        </w:rPr>
      </w:pPr>
    </w:p>
    <w:p w14:paraId="5D867E47">
      <w:pPr>
        <w:shd w:val="clear"/>
        <w:spacing w:after="468" w:afterLines="150" w:line="360" w:lineRule="auto"/>
        <w:jc w:val="center"/>
        <w:rPr>
          <w:rFonts w:ascii="宋体" w:hAnsi="宋体" w:cs="宋体"/>
          <w:b/>
          <w:bCs/>
          <w:color w:val="auto"/>
          <w:sz w:val="44"/>
          <w:szCs w:val="44"/>
          <w:highlight w:val="none"/>
        </w:rPr>
      </w:pPr>
      <w:r>
        <w:rPr>
          <w:rFonts w:hint="eastAsia" w:ascii="宋体" w:hAnsi="宋体" w:cs="宋体"/>
          <w:b/>
          <w:bCs/>
          <w:color w:val="auto"/>
          <w:sz w:val="44"/>
          <w:szCs w:val="44"/>
          <w:highlight w:val="none"/>
        </w:rPr>
        <w:t>目  录</w:t>
      </w:r>
    </w:p>
    <w:p w14:paraId="64BBCEAE">
      <w:pPr>
        <w:pStyle w:val="12"/>
        <w:shd w:val="clear"/>
        <w:tabs>
          <w:tab w:val="left" w:pos="1050"/>
          <w:tab w:val="right" w:leader="dot" w:pos="8296"/>
        </w:tabs>
        <w:spacing w:line="360" w:lineRule="auto"/>
        <w:rPr>
          <w:rFonts w:ascii="宋体" w:hAnsi="宋体" w:cs="宋体"/>
          <w:b/>
          <w:color w:val="auto"/>
          <w:sz w:val="32"/>
          <w:szCs w:val="24"/>
          <w:highlight w:val="none"/>
        </w:rPr>
      </w:pPr>
      <w:r>
        <w:rPr>
          <w:rFonts w:hint="eastAsia" w:ascii="宋体" w:hAnsi="宋体" w:cs="宋体"/>
          <w:b/>
          <w:bCs/>
          <w:color w:val="auto"/>
          <w:sz w:val="32"/>
          <w:szCs w:val="32"/>
          <w:highlight w:val="none"/>
        </w:rPr>
        <w:fldChar w:fldCharType="begin"/>
      </w:r>
      <w:r>
        <w:rPr>
          <w:rFonts w:hint="eastAsia" w:ascii="宋体" w:hAnsi="宋体" w:cs="宋体"/>
          <w:b/>
          <w:bCs/>
          <w:color w:val="auto"/>
          <w:sz w:val="32"/>
          <w:szCs w:val="32"/>
          <w:highlight w:val="none"/>
        </w:rPr>
        <w:instrText xml:space="preserve"> TOC \o "1-1" \h \z \u </w:instrText>
      </w:r>
      <w:r>
        <w:rPr>
          <w:rFonts w:hint="eastAsia" w:ascii="宋体" w:hAnsi="宋体" w:cs="宋体"/>
          <w:b/>
          <w:bCs/>
          <w:color w:val="auto"/>
          <w:sz w:val="32"/>
          <w:szCs w:val="32"/>
          <w:highlight w:val="none"/>
        </w:rPr>
        <w:fldChar w:fldCharType="separate"/>
      </w:r>
      <w:r>
        <w:rPr>
          <w:color w:val="auto"/>
          <w:highlight w:val="none"/>
        </w:rPr>
        <w:fldChar w:fldCharType="begin"/>
      </w:r>
      <w:r>
        <w:rPr>
          <w:color w:val="auto"/>
          <w:highlight w:val="none"/>
        </w:rPr>
        <w:instrText xml:space="preserve"> HYPERLINK \l "_Toc535314222" </w:instrText>
      </w:r>
      <w:r>
        <w:rPr>
          <w:color w:val="auto"/>
          <w:highlight w:val="none"/>
        </w:rPr>
        <w:fldChar w:fldCharType="separate"/>
      </w:r>
      <w:r>
        <w:rPr>
          <w:rStyle w:val="17"/>
          <w:rFonts w:hint="eastAsia" w:ascii="宋体" w:hAnsi="宋体" w:cs="宋体"/>
          <w:b/>
          <w:color w:val="auto"/>
          <w:sz w:val="32"/>
          <w:szCs w:val="22"/>
          <w:highlight w:val="none"/>
        </w:rPr>
        <w:t>第一章</w:t>
      </w:r>
      <w:r>
        <w:rPr>
          <w:rFonts w:hint="eastAsia" w:ascii="宋体" w:hAnsi="宋体" w:cs="宋体"/>
          <w:b/>
          <w:color w:val="auto"/>
          <w:sz w:val="32"/>
          <w:szCs w:val="24"/>
          <w:highlight w:val="none"/>
        </w:rPr>
        <w:tab/>
      </w:r>
      <w:r>
        <w:rPr>
          <w:rFonts w:hint="eastAsia" w:ascii="宋体" w:hAnsi="宋体" w:cs="宋体"/>
          <w:b/>
          <w:color w:val="auto"/>
          <w:sz w:val="32"/>
          <w:szCs w:val="24"/>
          <w:highlight w:val="none"/>
        </w:rPr>
        <w:t xml:space="preserve">  </w:t>
      </w:r>
      <w:r>
        <w:rPr>
          <w:rStyle w:val="17"/>
          <w:rFonts w:hint="eastAsia" w:ascii="宋体" w:hAnsi="宋体" w:cs="宋体"/>
          <w:b/>
          <w:color w:val="auto"/>
          <w:sz w:val="32"/>
          <w:szCs w:val="22"/>
          <w:highlight w:val="none"/>
        </w:rPr>
        <w:t>招标公告</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fldChar w:fldCharType="begin"/>
      </w:r>
      <w:r>
        <w:rPr>
          <w:rFonts w:hint="eastAsia" w:ascii="宋体" w:hAnsi="宋体" w:cs="宋体"/>
          <w:b/>
          <w:color w:val="auto"/>
          <w:sz w:val="32"/>
          <w:szCs w:val="22"/>
          <w:highlight w:val="none"/>
        </w:rPr>
        <w:instrText xml:space="preserve"> PAGEREF _Toc535314222 \h </w:instrText>
      </w:r>
      <w:r>
        <w:rPr>
          <w:rFonts w:hint="eastAsia" w:ascii="宋体" w:hAnsi="宋体" w:cs="宋体"/>
          <w:b/>
          <w:color w:val="auto"/>
          <w:sz w:val="32"/>
          <w:szCs w:val="22"/>
          <w:highlight w:val="none"/>
        </w:rPr>
        <w:fldChar w:fldCharType="separate"/>
      </w:r>
      <w:r>
        <w:rPr>
          <w:rFonts w:hint="eastAsia" w:ascii="宋体" w:hAnsi="宋体" w:cs="宋体"/>
          <w:b/>
          <w:color w:val="auto"/>
          <w:sz w:val="32"/>
          <w:szCs w:val="22"/>
          <w:highlight w:val="none"/>
        </w:rPr>
        <w:t>3</w:t>
      </w:r>
      <w:r>
        <w:rPr>
          <w:rFonts w:hint="eastAsia" w:ascii="宋体" w:hAnsi="宋体" w:cs="宋体"/>
          <w:b/>
          <w:color w:val="auto"/>
          <w:sz w:val="32"/>
          <w:szCs w:val="22"/>
          <w:highlight w:val="none"/>
        </w:rPr>
        <w:fldChar w:fldCharType="end"/>
      </w:r>
      <w:r>
        <w:rPr>
          <w:rFonts w:hint="eastAsia" w:ascii="宋体" w:hAnsi="宋体" w:cs="宋体"/>
          <w:b/>
          <w:color w:val="auto"/>
          <w:sz w:val="32"/>
          <w:szCs w:val="22"/>
          <w:highlight w:val="none"/>
        </w:rPr>
        <w:fldChar w:fldCharType="end"/>
      </w:r>
    </w:p>
    <w:p w14:paraId="421E02E0">
      <w:pPr>
        <w:pStyle w:val="12"/>
        <w:shd w:val="clear"/>
        <w:tabs>
          <w:tab w:val="right" w:leader="dot" w:pos="8296"/>
        </w:tabs>
        <w:spacing w:line="360" w:lineRule="auto"/>
        <w:rPr>
          <w:rFonts w:ascii="宋体" w:hAnsi="宋体" w:cs="宋体"/>
          <w:b/>
          <w:color w:val="auto"/>
          <w:sz w:val="32"/>
          <w:szCs w:val="24"/>
          <w:highlight w:val="none"/>
        </w:rPr>
      </w:pPr>
      <w:r>
        <w:rPr>
          <w:color w:val="auto"/>
          <w:highlight w:val="none"/>
        </w:rPr>
        <w:fldChar w:fldCharType="begin"/>
      </w:r>
      <w:r>
        <w:rPr>
          <w:color w:val="auto"/>
          <w:highlight w:val="none"/>
        </w:rPr>
        <w:instrText xml:space="preserve"> HYPERLINK \l "_Toc535314223" </w:instrText>
      </w:r>
      <w:r>
        <w:rPr>
          <w:color w:val="auto"/>
          <w:highlight w:val="none"/>
        </w:rPr>
        <w:fldChar w:fldCharType="separate"/>
      </w:r>
      <w:r>
        <w:rPr>
          <w:rStyle w:val="17"/>
          <w:rFonts w:hint="eastAsia" w:ascii="宋体" w:hAnsi="宋体" w:cs="宋体"/>
          <w:b/>
          <w:bCs/>
          <w:color w:val="auto"/>
          <w:kern w:val="44"/>
          <w:sz w:val="32"/>
          <w:szCs w:val="22"/>
          <w:highlight w:val="none"/>
        </w:rPr>
        <w:t>第二章  投标人须知</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fldChar w:fldCharType="begin"/>
      </w:r>
      <w:r>
        <w:rPr>
          <w:rFonts w:hint="eastAsia" w:ascii="宋体" w:hAnsi="宋体" w:cs="宋体"/>
          <w:b/>
          <w:color w:val="auto"/>
          <w:sz w:val="32"/>
          <w:szCs w:val="22"/>
          <w:highlight w:val="none"/>
        </w:rPr>
        <w:instrText xml:space="preserve"> PAGEREF _Toc535314223 \h </w:instrText>
      </w:r>
      <w:r>
        <w:rPr>
          <w:rFonts w:hint="eastAsia" w:ascii="宋体" w:hAnsi="宋体" w:cs="宋体"/>
          <w:b/>
          <w:color w:val="auto"/>
          <w:sz w:val="32"/>
          <w:szCs w:val="22"/>
          <w:highlight w:val="none"/>
        </w:rPr>
        <w:fldChar w:fldCharType="separate"/>
      </w:r>
      <w:r>
        <w:rPr>
          <w:rFonts w:hint="eastAsia" w:ascii="宋体" w:hAnsi="宋体" w:cs="宋体"/>
          <w:b/>
          <w:color w:val="auto"/>
          <w:sz w:val="32"/>
          <w:szCs w:val="22"/>
          <w:highlight w:val="none"/>
        </w:rPr>
        <w:t>6</w:t>
      </w:r>
      <w:r>
        <w:rPr>
          <w:rFonts w:hint="eastAsia" w:ascii="宋体" w:hAnsi="宋体" w:cs="宋体"/>
          <w:b/>
          <w:color w:val="auto"/>
          <w:sz w:val="32"/>
          <w:szCs w:val="22"/>
          <w:highlight w:val="none"/>
        </w:rPr>
        <w:fldChar w:fldCharType="end"/>
      </w:r>
      <w:r>
        <w:rPr>
          <w:rFonts w:hint="eastAsia" w:ascii="宋体" w:hAnsi="宋体" w:cs="宋体"/>
          <w:b/>
          <w:color w:val="auto"/>
          <w:sz w:val="32"/>
          <w:szCs w:val="22"/>
          <w:highlight w:val="none"/>
        </w:rPr>
        <w:fldChar w:fldCharType="end"/>
      </w:r>
    </w:p>
    <w:p w14:paraId="1E8453DF">
      <w:pPr>
        <w:pStyle w:val="12"/>
        <w:shd w:val="clear"/>
        <w:tabs>
          <w:tab w:val="right" w:leader="dot" w:pos="8296"/>
        </w:tabs>
        <w:spacing w:line="360" w:lineRule="auto"/>
        <w:rPr>
          <w:rFonts w:ascii="宋体" w:hAnsi="宋体" w:cs="宋体"/>
          <w:b/>
          <w:color w:val="auto"/>
          <w:sz w:val="32"/>
          <w:szCs w:val="22"/>
          <w:highlight w:val="none"/>
        </w:rPr>
      </w:pPr>
      <w:r>
        <w:rPr>
          <w:color w:val="auto"/>
          <w:highlight w:val="none"/>
        </w:rPr>
        <w:fldChar w:fldCharType="begin"/>
      </w:r>
      <w:r>
        <w:rPr>
          <w:color w:val="auto"/>
          <w:highlight w:val="none"/>
        </w:rPr>
        <w:instrText xml:space="preserve"> HYPERLINK \l "_Toc535314224" </w:instrText>
      </w:r>
      <w:r>
        <w:rPr>
          <w:color w:val="auto"/>
          <w:highlight w:val="none"/>
        </w:rPr>
        <w:fldChar w:fldCharType="separate"/>
      </w:r>
      <w:r>
        <w:rPr>
          <w:rStyle w:val="17"/>
          <w:rFonts w:hint="eastAsia" w:ascii="宋体" w:hAnsi="宋体" w:cs="宋体"/>
          <w:b/>
          <w:color w:val="auto"/>
          <w:sz w:val="32"/>
          <w:szCs w:val="22"/>
          <w:highlight w:val="none"/>
        </w:rPr>
        <w:t>第三章  评标办法</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t>1</w:t>
      </w:r>
      <w:r>
        <w:rPr>
          <w:rFonts w:hint="eastAsia" w:ascii="宋体" w:hAnsi="宋体" w:cs="宋体"/>
          <w:b/>
          <w:color w:val="auto"/>
          <w:sz w:val="32"/>
          <w:szCs w:val="22"/>
          <w:highlight w:val="none"/>
        </w:rPr>
        <w:fldChar w:fldCharType="end"/>
      </w:r>
      <w:r>
        <w:rPr>
          <w:rFonts w:hint="eastAsia" w:ascii="宋体" w:hAnsi="宋体" w:cs="宋体"/>
          <w:b/>
          <w:color w:val="auto"/>
          <w:sz w:val="32"/>
          <w:szCs w:val="22"/>
          <w:highlight w:val="none"/>
        </w:rPr>
        <w:t>9</w:t>
      </w:r>
    </w:p>
    <w:p w14:paraId="78F200AD">
      <w:pPr>
        <w:pStyle w:val="12"/>
        <w:shd w:val="clear"/>
        <w:tabs>
          <w:tab w:val="right" w:leader="dot" w:pos="8296"/>
        </w:tabs>
        <w:spacing w:line="360" w:lineRule="auto"/>
        <w:rPr>
          <w:rFonts w:ascii="宋体" w:hAnsi="宋体" w:cs="宋体"/>
          <w:b/>
          <w:color w:val="auto"/>
          <w:sz w:val="32"/>
          <w:szCs w:val="24"/>
          <w:highlight w:val="none"/>
        </w:rPr>
      </w:pPr>
      <w:r>
        <w:rPr>
          <w:color w:val="auto"/>
          <w:highlight w:val="none"/>
        </w:rPr>
        <w:fldChar w:fldCharType="begin"/>
      </w:r>
      <w:r>
        <w:rPr>
          <w:color w:val="auto"/>
          <w:highlight w:val="none"/>
        </w:rPr>
        <w:instrText xml:space="preserve"> HYPERLINK \l "_Toc535314225" </w:instrText>
      </w:r>
      <w:r>
        <w:rPr>
          <w:color w:val="auto"/>
          <w:highlight w:val="none"/>
        </w:rPr>
        <w:fldChar w:fldCharType="separate"/>
      </w:r>
      <w:r>
        <w:rPr>
          <w:rStyle w:val="17"/>
          <w:rFonts w:hint="eastAsia" w:ascii="宋体" w:hAnsi="宋体" w:cs="宋体"/>
          <w:b/>
          <w:color w:val="auto"/>
          <w:sz w:val="32"/>
          <w:szCs w:val="22"/>
          <w:highlight w:val="none"/>
        </w:rPr>
        <w:t>第四章  采购需求</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t>2</w:t>
      </w:r>
      <w:r>
        <w:rPr>
          <w:rFonts w:hint="eastAsia" w:ascii="宋体" w:hAnsi="宋体" w:cs="宋体"/>
          <w:b/>
          <w:color w:val="auto"/>
          <w:sz w:val="32"/>
          <w:szCs w:val="22"/>
          <w:highlight w:val="none"/>
        </w:rPr>
        <w:fldChar w:fldCharType="end"/>
      </w:r>
      <w:r>
        <w:rPr>
          <w:rFonts w:hint="eastAsia" w:ascii="宋体" w:hAnsi="宋体" w:cs="宋体"/>
          <w:b/>
          <w:color w:val="auto"/>
          <w:sz w:val="32"/>
          <w:szCs w:val="22"/>
          <w:highlight w:val="none"/>
        </w:rPr>
        <w:t>3</w:t>
      </w:r>
    </w:p>
    <w:p w14:paraId="6E60D0F1">
      <w:pPr>
        <w:pStyle w:val="12"/>
        <w:shd w:val="clear"/>
        <w:tabs>
          <w:tab w:val="right" w:leader="dot" w:pos="8296"/>
        </w:tabs>
        <w:spacing w:line="360" w:lineRule="auto"/>
        <w:rPr>
          <w:rFonts w:ascii="宋体" w:hAnsi="宋体" w:cs="宋体"/>
          <w:b/>
          <w:color w:val="auto"/>
          <w:sz w:val="32"/>
          <w:szCs w:val="24"/>
          <w:highlight w:val="none"/>
        </w:rPr>
      </w:pPr>
      <w:r>
        <w:rPr>
          <w:color w:val="auto"/>
          <w:highlight w:val="none"/>
        </w:rPr>
        <w:fldChar w:fldCharType="begin"/>
      </w:r>
      <w:r>
        <w:rPr>
          <w:color w:val="auto"/>
          <w:highlight w:val="none"/>
        </w:rPr>
        <w:instrText xml:space="preserve"> HYPERLINK \l "_Toc535314225" </w:instrText>
      </w:r>
      <w:r>
        <w:rPr>
          <w:color w:val="auto"/>
          <w:highlight w:val="none"/>
        </w:rPr>
        <w:fldChar w:fldCharType="separate"/>
      </w:r>
      <w:r>
        <w:rPr>
          <w:rStyle w:val="17"/>
          <w:rFonts w:hint="eastAsia" w:ascii="宋体" w:hAnsi="宋体" w:cs="宋体"/>
          <w:b/>
          <w:color w:val="auto"/>
          <w:sz w:val="32"/>
          <w:szCs w:val="22"/>
          <w:highlight w:val="none"/>
        </w:rPr>
        <w:t>第五章  合同条款及格式</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t>2</w:t>
      </w:r>
      <w:r>
        <w:rPr>
          <w:rFonts w:hint="eastAsia" w:ascii="宋体" w:hAnsi="宋体" w:cs="宋体"/>
          <w:b/>
          <w:color w:val="auto"/>
          <w:sz w:val="32"/>
          <w:szCs w:val="22"/>
          <w:highlight w:val="none"/>
        </w:rPr>
        <w:fldChar w:fldCharType="end"/>
      </w:r>
      <w:r>
        <w:rPr>
          <w:rFonts w:ascii="宋体" w:hAnsi="宋体" w:cs="宋体"/>
          <w:b/>
          <w:color w:val="auto"/>
          <w:sz w:val="32"/>
          <w:szCs w:val="22"/>
          <w:highlight w:val="none"/>
        </w:rPr>
        <w:t>4</w:t>
      </w:r>
    </w:p>
    <w:p w14:paraId="47EF1E6D">
      <w:pPr>
        <w:pStyle w:val="12"/>
        <w:shd w:val="clear"/>
        <w:tabs>
          <w:tab w:val="right" w:leader="dot" w:pos="8296"/>
        </w:tabs>
        <w:spacing w:line="360" w:lineRule="auto"/>
        <w:rPr>
          <w:rFonts w:ascii="宋体" w:hAnsi="宋体" w:cs="宋体"/>
          <w:color w:val="auto"/>
          <w:sz w:val="22"/>
          <w:szCs w:val="24"/>
          <w:highlight w:val="none"/>
        </w:rPr>
      </w:pPr>
      <w:r>
        <w:rPr>
          <w:color w:val="auto"/>
          <w:highlight w:val="none"/>
        </w:rPr>
        <w:fldChar w:fldCharType="begin"/>
      </w:r>
      <w:r>
        <w:rPr>
          <w:color w:val="auto"/>
          <w:highlight w:val="none"/>
        </w:rPr>
        <w:instrText xml:space="preserve"> HYPERLINK \l "_Toc535314226" </w:instrText>
      </w:r>
      <w:r>
        <w:rPr>
          <w:color w:val="auto"/>
          <w:highlight w:val="none"/>
        </w:rPr>
        <w:fldChar w:fldCharType="separate"/>
      </w:r>
      <w:r>
        <w:rPr>
          <w:rStyle w:val="17"/>
          <w:rFonts w:hint="eastAsia" w:ascii="宋体" w:hAnsi="宋体" w:cs="宋体"/>
          <w:b/>
          <w:color w:val="auto"/>
          <w:sz w:val="32"/>
          <w:szCs w:val="22"/>
          <w:highlight w:val="none"/>
        </w:rPr>
        <w:t>第六章  投标文件格式</w:t>
      </w:r>
      <w:r>
        <w:rPr>
          <w:rFonts w:hint="eastAsia" w:ascii="宋体" w:hAnsi="宋体" w:cs="宋体"/>
          <w:b/>
          <w:color w:val="auto"/>
          <w:sz w:val="32"/>
          <w:szCs w:val="22"/>
          <w:highlight w:val="none"/>
        </w:rPr>
        <w:tab/>
      </w:r>
      <w:r>
        <w:rPr>
          <w:rFonts w:hint="eastAsia" w:ascii="宋体" w:hAnsi="宋体" w:cs="宋体"/>
          <w:b/>
          <w:color w:val="auto"/>
          <w:sz w:val="32"/>
          <w:szCs w:val="22"/>
          <w:highlight w:val="none"/>
        </w:rPr>
        <w:t>30</w:t>
      </w:r>
      <w:r>
        <w:rPr>
          <w:rFonts w:hint="eastAsia" w:ascii="宋体" w:hAnsi="宋体" w:cs="宋体"/>
          <w:b/>
          <w:color w:val="auto"/>
          <w:sz w:val="32"/>
          <w:szCs w:val="22"/>
          <w:highlight w:val="none"/>
        </w:rPr>
        <w:fldChar w:fldCharType="end"/>
      </w:r>
    </w:p>
    <w:p w14:paraId="455D9E38">
      <w:pPr>
        <w:pStyle w:val="3"/>
        <w:shd w:val="clear"/>
        <w:spacing w:line="360" w:lineRule="auto"/>
        <w:rPr>
          <w:rFonts w:ascii="宋体" w:hAnsi="宋体" w:eastAsia="宋体" w:cs="宋体"/>
          <w:color w:val="auto"/>
          <w:highlight w:val="none"/>
        </w:rPr>
      </w:pPr>
      <w:r>
        <w:rPr>
          <w:rFonts w:hint="eastAsia" w:ascii="宋体" w:hAnsi="宋体" w:eastAsia="宋体" w:cs="宋体"/>
          <w:b w:val="0"/>
          <w:bCs w:val="0"/>
          <w:color w:val="auto"/>
          <w:highlight w:val="none"/>
        </w:rPr>
        <w:fldChar w:fldCharType="end"/>
      </w:r>
    </w:p>
    <w:p w14:paraId="77CBD3BC">
      <w:pPr>
        <w:shd w:val="clear"/>
        <w:spacing w:line="360" w:lineRule="auto"/>
        <w:rPr>
          <w:rFonts w:ascii="宋体" w:hAnsi="宋体" w:cs="宋体"/>
          <w:color w:val="auto"/>
          <w:szCs w:val="28"/>
          <w:highlight w:val="none"/>
        </w:rPr>
      </w:pPr>
    </w:p>
    <w:p w14:paraId="5E8DF19C">
      <w:pPr>
        <w:widowControl/>
        <w:shd w:val="clear"/>
        <w:spacing w:line="360" w:lineRule="auto"/>
        <w:jc w:val="left"/>
        <w:rPr>
          <w:rFonts w:ascii="宋体" w:hAnsi="宋体" w:cs="宋体"/>
          <w:color w:val="auto"/>
          <w:szCs w:val="28"/>
          <w:highlight w:val="none"/>
        </w:rPr>
      </w:pPr>
      <w:r>
        <w:rPr>
          <w:rFonts w:hint="eastAsia" w:ascii="宋体" w:hAnsi="宋体" w:cs="宋体"/>
          <w:color w:val="auto"/>
          <w:szCs w:val="28"/>
          <w:highlight w:val="none"/>
        </w:rPr>
        <w:br w:type="page"/>
      </w:r>
    </w:p>
    <w:p w14:paraId="0EDE2CB3">
      <w:pPr>
        <w:pStyle w:val="2"/>
        <w:shd w:val="clear"/>
        <w:spacing w:line="360" w:lineRule="auto"/>
        <w:jc w:val="center"/>
        <w:rPr>
          <w:rFonts w:ascii="宋体" w:hAnsi="宋体" w:cs="宋体"/>
          <w:color w:val="auto"/>
          <w:sz w:val="32"/>
          <w:szCs w:val="32"/>
          <w:highlight w:val="none"/>
        </w:rPr>
      </w:pPr>
      <w:bookmarkStart w:id="0" w:name="_Toc368985787"/>
      <w:bookmarkStart w:id="1" w:name="_Toc29507"/>
      <w:bookmarkStart w:id="2" w:name="_Toc355604664"/>
      <w:bookmarkStart w:id="3" w:name="_Toc535314222"/>
      <w:bookmarkStart w:id="4" w:name="_Toc4518"/>
      <w:bookmarkStart w:id="5" w:name="_Toc17400"/>
      <w:r>
        <w:rPr>
          <w:rFonts w:hint="eastAsia" w:ascii="宋体" w:hAnsi="宋体" w:cs="宋体"/>
          <w:color w:val="auto"/>
          <w:sz w:val="32"/>
          <w:szCs w:val="32"/>
          <w:highlight w:val="none"/>
        </w:rPr>
        <w:t>第一章 招标公告</w:t>
      </w:r>
      <w:bookmarkEnd w:id="0"/>
      <w:bookmarkEnd w:id="1"/>
      <w:bookmarkEnd w:id="2"/>
      <w:bookmarkEnd w:id="3"/>
      <w:bookmarkEnd w:id="4"/>
      <w:bookmarkEnd w:id="5"/>
    </w:p>
    <w:p w14:paraId="45933DEC">
      <w:pPr>
        <w:keepNext w:val="0"/>
        <w:keepLines w:val="0"/>
        <w:pageBreakBefore w:val="0"/>
        <w:shd w:val="clear"/>
        <w:kinsoku/>
        <w:wordWrap/>
        <w:overflowPunct/>
        <w:bidi w:val="0"/>
        <w:spacing w:line="360" w:lineRule="auto"/>
        <w:ind w:firstLine="480" w:firstLineChars="200"/>
        <w:textAlignment w:val="auto"/>
        <w:outlineLvl w:val="1"/>
        <w:rPr>
          <w:rFonts w:ascii="宋体" w:hAnsi="宋体" w:cs="宋体"/>
          <w:color w:val="auto"/>
          <w:sz w:val="24"/>
          <w:szCs w:val="24"/>
          <w:highlight w:val="none"/>
        </w:rPr>
      </w:pPr>
      <w:bookmarkStart w:id="6" w:name="_Toc12707"/>
      <w:bookmarkStart w:id="7" w:name="_Toc26029"/>
      <w:bookmarkStart w:id="8" w:name="OLE_LINK1"/>
      <w:bookmarkStart w:id="9" w:name="OLE_LINK3"/>
      <w:bookmarkStart w:id="10" w:name="OLE_LINK4"/>
      <w:r>
        <w:rPr>
          <w:rFonts w:hint="eastAsia" w:ascii="宋体" w:hAnsi="宋体" w:cs="宋体"/>
          <w:color w:val="auto"/>
          <w:sz w:val="24"/>
          <w:szCs w:val="24"/>
          <w:highlight w:val="none"/>
        </w:rPr>
        <w:t>阜阳市同创投资咨询管理有限公司受</w:t>
      </w:r>
      <w:r>
        <w:rPr>
          <w:rFonts w:hint="eastAsia" w:ascii="宋体" w:hAnsi="宋体" w:cs="宋体"/>
          <w:color w:val="auto"/>
          <w:sz w:val="24"/>
          <w:szCs w:val="24"/>
          <w:highlight w:val="none"/>
          <w:lang w:eastAsia="zh-CN"/>
        </w:rPr>
        <w:t>阜阳市颍科创新投资有限公司</w:t>
      </w:r>
      <w:r>
        <w:rPr>
          <w:rFonts w:hint="eastAsia" w:ascii="宋体" w:hAnsi="宋体" w:cs="宋体"/>
          <w:color w:val="auto"/>
          <w:sz w:val="24"/>
          <w:szCs w:val="24"/>
          <w:highlight w:val="none"/>
        </w:rPr>
        <w:t>的委托，现对</w:t>
      </w:r>
      <w:r>
        <w:rPr>
          <w:rFonts w:hint="eastAsia" w:ascii="宋体" w:hAnsi="宋体" w:cs="宋体"/>
          <w:color w:val="auto"/>
          <w:sz w:val="24"/>
          <w:szCs w:val="24"/>
          <w:highlight w:val="none"/>
          <w:lang w:eastAsia="zh-CN"/>
        </w:rPr>
        <w:t>阜阳市颍科创新投资有限公司中介机构备选库增设会计师事务所服务单位采购项目</w:t>
      </w:r>
      <w:r>
        <w:rPr>
          <w:rFonts w:hint="eastAsia" w:ascii="宋体" w:hAnsi="宋体" w:cs="宋体"/>
          <w:color w:val="auto"/>
          <w:sz w:val="24"/>
          <w:szCs w:val="24"/>
          <w:highlight w:val="none"/>
        </w:rPr>
        <w:t>进行公开招标（非依法必招项目），欢迎符合资格条件的投标人参与本项目的投标。</w:t>
      </w:r>
      <w:bookmarkEnd w:id="6"/>
      <w:bookmarkEnd w:id="7"/>
    </w:p>
    <w:p w14:paraId="711B6CF1">
      <w:pPr>
        <w:keepNext w:val="0"/>
        <w:keepLines w:val="0"/>
        <w:pageBreakBefore w:val="0"/>
        <w:widowControl/>
        <w:shd w:val="clear" w:color="auto"/>
        <w:kinsoku/>
        <w:wordWrap/>
        <w:overflowPunct/>
        <w:bidi w:val="0"/>
        <w:spacing w:line="360" w:lineRule="auto"/>
        <w:ind w:firstLine="643"/>
        <w:textAlignment w:val="auto"/>
        <w:rPr>
          <w:rFonts w:ascii="宋体" w:hAnsi="宋体" w:cs="宋体"/>
          <w:color w:val="auto"/>
          <w:sz w:val="24"/>
          <w:szCs w:val="24"/>
          <w:highlight w:val="none"/>
        </w:rPr>
      </w:pPr>
      <w:r>
        <w:rPr>
          <w:rFonts w:hint="eastAsia" w:ascii="宋体" w:hAnsi="宋体" w:cs="宋体"/>
          <w:color w:val="auto"/>
          <w:sz w:val="24"/>
          <w:szCs w:val="24"/>
          <w:highlight w:val="none"/>
        </w:rPr>
        <w:t>一、项目名称及内容</w:t>
      </w:r>
    </w:p>
    <w:p w14:paraId="04CD7E88">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1、项目编号：FYTC-ZZCZ-202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014</w:t>
      </w:r>
      <w:r>
        <w:rPr>
          <w:rFonts w:hint="eastAsia" w:ascii="宋体" w:hAnsi="宋体" w:cs="宋体"/>
          <w:color w:val="auto"/>
          <w:sz w:val="24"/>
          <w:szCs w:val="24"/>
          <w:highlight w:val="none"/>
        </w:rPr>
        <w:t xml:space="preserve">                  </w:t>
      </w:r>
    </w:p>
    <w:p w14:paraId="56CF00AB">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lang w:eastAsia="zh-CN"/>
        </w:rPr>
        <w:t>阜阳市颍科创新投资有限公司中介机构备选库增设会计师事务所服务单位采购项目</w:t>
      </w:r>
      <w:r>
        <w:rPr>
          <w:rFonts w:hint="eastAsia" w:ascii="宋体" w:hAnsi="宋体" w:cs="宋体"/>
          <w:color w:val="auto"/>
          <w:sz w:val="24"/>
          <w:szCs w:val="24"/>
          <w:highlight w:val="none"/>
        </w:rPr>
        <w:t xml:space="preserve">       </w:t>
      </w:r>
    </w:p>
    <w:p w14:paraId="122A7A54">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3、项目单位：</w:t>
      </w:r>
      <w:r>
        <w:rPr>
          <w:rFonts w:hint="eastAsia" w:ascii="宋体" w:hAnsi="宋体" w:cs="宋体"/>
          <w:color w:val="auto"/>
          <w:sz w:val="24"/>
          <w:szCs w:val="24"/>
          <w:highlight w:val="none"/>
          <w:lang w:eastAsia="zh-CN"/>
        </w:rPr>
        <w:t>阜阳市颍科创新投资有限公司</w:t>
      </w:r>
      <w:r>
        <w:rPr>
          <w:rFonts w:hint="eastAsia" w:ascii="宋体" w:hAnsi="宋体" w:cs="宋体"/>
          <w:color w:val="auto"/>
          <w:sz w:val="24"/>
          <w:szCs w:val="24"/>
          <w:highlight w:val="none"/>
        </w:rPr>
        <w:t xml:space="preserve">    </w:t>
      </w:r>
    </w:p>
    <w:p w14:paraId="7A7E7241">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4、资金来源：自筹资金        </w:t>
      </w:r>
    </w:p>
    <w:p w14:paraId="377C20F7">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5、标段划分：一个标段</w:t>
      </w:r>
    </w:p>
    <w:p w14:paraId="41DA1986">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6、招标范围：增加三家会计师事务所供应商作为阜阳市颍科创新投资有限公司定向服务单位。具体服务内容根据后期单个项目签订的委托协议事宜，明确中介服务项目的范围、完成时间、质量要求、费用、双方责任义务等。</w:t>
      </w:r>
    </w:p>
    <w:p w14:paraId="4251AEE1">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7、服务期限：3年。</w:t>
      </w:r>
    </w:p>
    <w:p w14:paraId="29AFBF7E">
      <w:pPr>
        <w:keepNext w:val="0"/>
        <w:keepLines w:val="0"/>
        <w:pageBreakBefore w:val="0"/>
        <w:widowControl w:val="0"/>
        <w:shd w:val="clear"/>
        <w:kinsoku/>
        <w:wordWrap/>
        <w:overflowPunct/>
        <w:topLinePunct w:val="0"/>
        <w:autoSpaceDE/>
        <w:autoSpaceDN/>
        <w:bidi w:val="0"/>
        <w:adjustRightInd/>
        <w:snapToGrid/>
        <w:spacing w:line="360" w:lineRule="auto"/>
        <w:ind w:firstLine="600" w:firstLineChars="25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8、入库单位数量：</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家。</w:t>
      </w:r>
    </w:p>
    <w:p w14:paraId="0DF7BD62">
      <w:pPr>
        <w:pStyle w:val="14"/>
        <w:keepNext w:val="0"/>
        <w:keepLines w:val="0"/>
        <w:pageBreakBefore w:val="0"/>
        <w:shd w:val="clear"/>
        <w:kinsoku/>
        <w:wordWrap/>
        <w:overflowPunct/>
        <w:bidi w:val="0"/>
        <w:spacing w:line="360" w:lineRule="auto"/>
        <w:ind w:left="0" w:leftChars="0" w:firstLine="720" w:firstLineChars="300"/>
        <w:textAlignment w:val="auto"/>
        <w:rPr>
          <w:color w:val="auto"/>
          <w:sz w:val="24"/>
          <w:szCs w:val="24"/>
          <w:highlight w:val="none"/>
        </w:rPr>
      </w:pPr>
      <w:r>
        <w:rPr>
          <w:color w:val="auto"/>
          <w:sz w:val="24"/>
          <w:szCs w:val="24"/>
          <w:highlight w:val="none"/>
        </w:rPr>
        <w:t>9</w:t>
      </w:r>
      <w:r>
        <w:rPr>
          <w:rFonts w:hint="eastAsia"/>
          <w:color w:val="auto"/>
          <w:sz w:val="24"/>
          <w:szCs w:val="24"/>
          <w:highlight w:val="none"/>
        </w:rPr>
        <w:t>、本项目不接受联合体投标。</w:t>
      </w:r>
    </w:p>
    <w:p w14:paraId="35F968B0">
      <w:pPr>
        <w:keepNext w:val="0"/>
        <w:keepLines w:val="0"/>
        <w:pageBreakBefore w:val="0"/>
        <w:shd w:val="clear"/>
        <w:kinsoku/>
        <w:wordWrap/>
        <w:overflowPunct/>
        <w:bidi w:val="0"/>
        <w:spacing w:line="360" w:lineRule="auto"/>
        <w:textAlignment w:val="auto"/>
        <w:outlineLvl w:val="1"/>
        <w:rPr>
          <w:rFonts w:ascii="宋体" w:hAnsi="宋体" w:cs="宋体"/>
          <w:color w:val="auto"/>
          <w:sz w:val="24"/>
          <w:szCs w:val="24"/>
          <w:highlight w:val="none"/>
        </w:rPr>
      </w:pPr>
      <w:bookmarkStart w:id="11" w:name="_Toc355604667"/>
      <w:bookmarkStart w:id="12" w:name="OLE_LINK2"/>
      <w:r>
        <w:rPr>
          <w:rFonts w:hint="eastAsia" w:ascii="宋体" w:hAnsi="宋体" w:cs="宋体"/>
          <w:color w:val="auto"/>
          <w:sz w:val="24"/>
          <w:szCs w:val="24"/>
          <w:highlight w:val="none"/>
        </w:rPr>
        <w:t xml:space="preserve"> </w:t>
      </w:r>
      <w:bookmarkStart w:id="13" w:name="_Toc11902"/>
      <w:bookmarkStart w:id="14" w:name="_Toc15425"/>
      <w:r>
        <w:rPr>
          <w:rFonts w:hint="eastAsia" w:ascii="宋体" w:hAnsi="宋体" w:cs="宋体"/>
          <w:color w:val="auto"/>
          <w:sz w:val="24"/>
          <w:szCs w:val="24"/>
          <w:highlight w:val="none"/>
        </w:rPr>
        <w:t xml:space="preserve">   二、投标人资格要求</w:t>
      </w:r>
      <w:bookmarkEnd w:id="11"/>
      <w:bookmarkEnd w:id="13"/>
      <w:bookmarkEnd w:id="14"/>
    </w:p>
    <w:bookmarkEnd w:id="12"/>
    <w:p w14:paraId="6DC789CA">
      <w:pPr>
        <w:keepNext w:val="0"/>
        <w:keepLines w:val="0"/>
        <w:pageBreakBefore w:val="0"/>
        <w:shd w:val="clear"/>
        <w:kinsoku/>
        <w:wordWrap/>
        <w:overflowPunct/>
        <w:autoSpaceDE w:val="0"/>
        <w:autoSpaceDN w:val="0"/>
        <w:bidi w:val="0"/>
        <w:adjustRightInd w:val="0"/>
        <w:spacing w:line="360" w:lineRule="auto"/>
        <w:ind w:firstLine="480" w:firstLineChars="200"/>
        <w:jc w:val="left"/>
        <w:textAlignment w:val="auto"/>
        <w:rPr>
          <w:rFonts w:hint="eastAsia" w:ascii="宋体" w:hAnsi="Calibri"/>
          <w:color w:val="auto"/>
          <w:kern w:val="0"/>
          <w:sz w:val="24"/>
          <w:szCs w:val="24"/>
          <w:highlight w:val="none"/>
        </w:rPr>
      </w:pPr>
      <w:bookmarkStart w:id="15" w:name="_Toc355604668"/>
      <w:r>
        <w:rPr>
          <w:rFonts w:hint="eastAsia" w:ascii="宋体" w:hAnsi="Calibri"/>
          <w:color w:val="auto"/>
          <w:kern w:val="0"/>
          <w:sz w:val="24"/>
          <w:szCs w:val="24"/>
          <w:highlight w:val="none"/>
        </w:rPr>
        <w:t>1.在中国依法设立，具有主管部门所颁发的会计师事务所执业许可证</w:t>
      </w:r>
      <w:r>
        <w:rPr>
          <w:rFonts w:hint="eastAsia" w:ascii="宋体" w:hAnsi="Calibri"/>
          <w:color w:val="auto"/>
          <w:kern w:val="0"/>
          <w:sz w:val="24"/>
          <w:szCs w:val="24"/>
          <w:highlight w:val="none"/>
          <w:lang w:eastAsia="zh-CN"/>
        </w:rPr>
        <w:t>；</w:t>
      </w:r>
    </w:p>
    <w:p w14:paraId="609C4E95">
      <w:pPr>
        <w:keepNext w:val="0"/>
        <w:keepLines w:val="0"/>
        <w:pageBreakBefore w:val="0"/>
        <w:shd w:val="clear"/>
        <w:kinsoku/>
        <w:wordWrap/>
        <w:overflowPunct/>
        <w:bidi w:val="0"/>
        <w:spacing w:line="360" w:lineRule="auto"/>
        <w:textAlignment w:val="auto"/>
        <w:outlineLvl w:val="1"/>
        <w:rPr>
          <w:rFonts w:ascii="宋体" w:hAnsi="宋体" w:cs="宋体"/>
          <w:color w:val="auto"/>
          <w:sz w:val="24"/>
          <w:szCs w:val="24"/>
          <w:highlight w:val="none"/>
        </w:rPr>
      </w:pPr>
      <w:r>
        <w:rPr>
          <w:rFonts w:hint="eastAsia" w:ascii="宋体" w:hAnsi="宋体" w:cs="宋体"/>
          <w:color w:val="auto"/>
          <w:sz w:val="24"/>
          <w:szCs w:val="24"/>
          <w:highlight w:val="none"/>
        </w:rPr>
        <w:t xml:space="preserve">   </w:t>
      </w:r>
      <w:bookmarkEnd w:id="15"/>
      <w:r>
        <w:rPr>
          <w:rFonts w:hint="eastAsia" w:ascii="宋体" w:hAnsi="宋体" w:cs="宋体"/>
          <w:color w:val="auto"/>
          <w:sz w:val="24"/>
          <w:szCs w:val="24"/>
          <w:highlight w:val="none"/>
        </w:rPr>
        <w:t>三、报名及招标文件发售办法</w:t>
      </w:r>
    </w:p>
    <w:p w14:paraId="2AE2F595">
      <w:pPr>
        <w:keepNext w:val="0"/>
        <w:keepLines w:val="0"/>
        <w:pageBreakBefore w:val="0"/>
        <w:shd w:val="clear"/>
        <w:kinsoku/>
        <w:wordWrap/>
        <w:overflowPunct/>
        <w:bidi w:val="0"/>
        <w:spacing w:line="360" w:lineRule="auto"/>
        <w:ind w:firstLine="480" w:firstLineChars="200"/>
        <w:textAlignment w:val="auto"/>
        <w:outlineLvl w:val="1"/>
        <w:rPr>
          <w:rFonts w:ascii="宋体" w:hAnsi="宋体" w:cs="宋体"/>
          <w:color w:val="auto"/>
          <w:sz w:val="24"/>
          <w:szCs w:val="24"/>
          <w:highlight w:val="none"/>
        </w:rPr>
      </w:pPr>
      <w:bookmarkStart w:id="16" w:name="_Toc355604669"/>
      <w:r>
        <w:rPr>
          <w:rFonts w:hint="eastAsia" w:ascii="宋体" w:hAnsi="宋体" w:cs="宋体"/>
          <w:color w:val="auto"/>
          <w:sz w:val="24"/>
          <w:szCs w:val="24"/>
          <w:highlight w:val="none"/>
        </w:rPr>
        <w:t>1、报名方式：凡有意参加的投标人，可在</w:t>
      </w:r>
      <w:r>
        <w:rPr>
          <w:rFonts w:hint="eastAsia" w:ascii="宋体" w:hAnsi="宋体" w:cs="宋体"/>
          <w:color w:val="auto"/>
          <w:kern w:val="0"/>
          <w:sz w:val="24"/>
          <w:szCs w:val="24"/>
          <w:highlight w:val="none"/>
          <w:lang w:eastAsia="zh-CN"/>
        </w:rPr>
        <w:t>阜阳市颍科创新投资有限公司</w:t>
      </w:r>
      <w:r>
        <w:rPr>
          <w:rFonts w:hint="eastAsia" w:ascii="宋体" w:hAnsi="宋体" w:cs="宋体"/>
          <w:color w:val="auto"/>
          <w:sz w:val="24"/>
          <w:szCs w:val="24"/>
          <w:highlight w:val="none"/>
        </w:rPr>
        <w:t>网站</w:t>
      </w:r>
      <w:r>
        <w:rPr>
          <w:rFonts w:hint="eastAsia" w:ascii="宋体" w:hAnsi="宋体" w:cs="宋体"/>
          <w:color w:val="auto"/>
          <w:sz w:val="24"/>
          <w:szCs w:val="24"/>
          <w:highlight w:val="none"/>
          <w:lang w:eastAsia="zh-CN"/>
        </w:rPr>
        <w:t>http://www.yingkecapital.cn/</w:t>
      </w:r>
      <w:r>
        <w:rPr>
          <w:rFonts w:hint="eastAsia" w:ascii="宋体" w:hAnsi="宋体" w:cs="宋体"/>
          <w:color w:val="auto"/>
          <w:sz w:val="24"/>
          <w:szCs w:val="24"/>
          <w:highlight w:val="none"/>
        </w:rPr>
        <w:t xml:space="preserve">下载招标文件。      </w:t>
      </w:r>
    </w:p>
    <w:p w14:paraId="4142B408">
      <w:pPr>
        <w:keepNext w:val="0"/>
        <w:keepLines w:val="0"/>
        <w:pageBreakBefore w:val="0"/>
        <w:shd w:val="clear"/>
        <w:kinsoku/>
        <w:wordWrap/>
        <w:overflowPunct/>
        <w:bidi w:val="0"/>
        <w:spacing w:line="360" w:lineRule="auto"/>
        <w:ind w:firstLine="480" w:firstLineChars="200"/>
        <w:textAlignment w:val="auto"/>
        <w:outlineLvl w:val="1"/>
        <w:rPr>
          <w:rFonts w:ascii="宋体" w:hAnsi="宋体" w:cs="宋体"/>
          <w:color w:val="auto"/>
          <w:sz w:val="24"/>
          <w:szCs w:val="24"/>
          <w:highlight w:val="none"/>
        </w:rPr>
      </w:pPr>
      <w:r>
        <w:rPr>
          <w:rFonts w:hint="eastAsia" w:ascii="宋体" w:hAnsi="宋体" w:cs="宋体"/>
          <w:color w:val="auto"/>
          <w:sz w:val="24"/>
          <w:szCs w:val="24"/>
          <w:highlight w:val="none"/>
        </w:rPr>
        <w:t>2、招标文件价格：0元</w:t>
      </w:r>
    </w:p>
    <w:p w14:paraId="0C061A9E">
      <w:pPr>
        <w:keepNext w:val="0"/>
        <w:keepLines w:val="0"/>
        <w:pageBreakBefore w:val="0"/>
        <w:shd w:val="clear"/>
        <w:kinsoku/>
        <w:wordWrap/>
        <w:overflowPunct/>
        <w:bidi w:val="0"/>
        <w:spacing w:line="360" w:lineRule="auto"/>
        <w:textAlignment w:val="auto"/>
        <w:outlineLvl w:val="1"/>
        <w:rPr>
          <w:rFonts w:ascii="宋体" w:hAnsi="宋体" w:cs="宋体"/>
          <w:color w:val="auto"/>
          <w:sz w:val="24"/>
          <w:szCs w:val="24"/>
          <w:highlight w:val="none"/>
        </w:rPr>
      </w:pPr>
      <w:r>
        <w:rPr>
          <w:rFonts w:hint="eastAsia" w:ascii="宋体" w:hAnsi="宋体" w:cs="宋体"/>
          <w:color w:val="auto"/>
          <w:sz w:val="24"/>
          <w:szCs w:val="24"/>
          <w:highlight w:val="none"/>
        </w:rPr>
        <w:t xml:space="preserve">   </w:t>
      </w:r>
      <w:bookmarkEnd w:id="16"/>
      <w:r>
        <w:rPr>
          <w:rFonts w:hint="eastAsia" w:ascii="宋体" w:hAnsi="宋体" w:cs="宋体"/>
          <w:color w:val="auto"/>
          <w:sz w:val="24"/>
          <w:szCs w:val="24"/>
          <w:highlight w:val="none"/>
        </w:rPr>
        <w:t>四、开标时间及地点</w:t>
      </w:r>
    </w:p>
    <w:p w14:paraId="049B9DAF">
      <w:pPr>
        <w:keepNext w:val="0"/>
        <w:keepLines w:val="0"/>
        <w:pageBreakBefore w:val="0"/>
        <w:widowControl/>
        <w:shd w:val="clear" w:color="auto"/>
        <w:kinsoku/>
        <w:wordWrap/>
        <w:overflowPunct/>
        <w:bidi w:val="0"/>
        <w:spacing w:line="360" w:lineRule="auto"/>
        <w:ind w:firstLine="480" w:firstLineChars="200"/>
        <w:textAlignment w:val="auto"/>
        <w:rPr>
          <w:rFonts w:ascii="宋体" w:hAnsi="宋体" w:cs="宋体"/>
          <w:color w:val="auto"/>
          <w:sz w:val="24"/>
          <w:szCs w:val="24"/>
          <w:highlight w:val="none"/>
        </w:rPr>
      </w:pPr>
      <w:bookmarkStart w:id="17" w:name="_Toc15839"/>
      <w:bookmarkStart w:id="18" w:name="_Toc10026"/>
      <w:r>
        <w:rPr>
          <w:rFonts w:hint="eastAsia" w:ascii="宋体" w:hAnsi="宋体" w:cs="宋体"/>
          <w:color w:val="auto"/>
          <w:sz w:val="24"/>
          <w:szCs w:val="24"/>
          <w:highlight w:val="none"/>
        </w:rPr>
        <w:t>1</w:t>
      </w:r>
      <w:bookmarkEnd w:id="17"/>
      <w:bookmarkEnd w:id="18"/>
      <w:bookmarkStart w:id="19" w:name="_Toc21951"/>
      <w:bookmarkStart w:id="20" w:name="_Toc29535"/>
      <w:r>
        <w:rPr>
          <w:rFonts w:hint="eastAsia" w:ascii="宋体" w:hAnsi="宋体" w:cs="宋体"/>
          <w:color w:val="auto"/>
          <w:sz w:val="24"/>
          <w:szCs w:val="24"/>
          <w:highlight w:val="none"/>
        </w:rPr>
        <w:t>、开标时间：202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28</w:t>
      </w:r>
      <w:r>
        <w:rPr>
          <w:rFonts w:hint="eastAsia" w:ascii="宋体" w:hAnsi="宋体" w:cs="宋体"/>
          <w:color w:val="auto"/>
          <w:sz w:val="24"/>
          <w:szCs w:val="24"/>
          <w:highlight w:val="none"/>
        </w:rPr>
        <w:t>日10时00分</w:t>
      </w:r>
    </w:p>
    <w:p w14:paraId="58518693">
      <w:pPr>
        <w:keepNext w:val="0"/>
        <w:keepLines w:val="0"/>
        <w:pageBreakBefore w:val="0"/>
        <w:shd w:val="clear"/>
        <w:kinsoku/>
        <w:wordWrap/>
        <w:overflowPunct/>
        <w:bidi w:val="0"/>
        <w:spacing w:line="360" w:lineRule="auto"/>
        <w:ind w:firstLine="480" w:firstLineChars="200"/>
        <w:textAlignment w:val="auto"/>
        <w:outlineLvl w:val="2"/>
        <w:rPr>
          <w:rFonts w:ascii="宋体" w:hAnsi="宋体" w:cs="宋体"/>
          <w:color w:val="auto"/>
          <w:sz w:val="24"/>
          <w:szCs w:val="24"/>
          <w:highlight w:val="none"/>
        </w:rPr>
      </w:pPr>
      <w:r>
        <w:rPr>
          <w:rFonts w:hint="eastAsia" w:ascii="宋体" w:hAnsi="宋体" w:cs="宋体"/>
          <w:color w:val="auto"/>
          <w:sz w:val="24"/>
          <w:szCs w:val="24"/>
          <w:highlight w:val="none"/>
        </w:rPr>
        <w:t>2、开标地点：阜阳市同创投资咨询管理有限公司会议室（</w:t>
      </w:r>
      <w:r>
        <w:rPr>
          <w:rFonts w:hint="eastAsia" w:ascii="宋体" w:hAnsi="宋体" w:cs="宋体"/>
          <w:color w:val="auto"/>
          <w:sz w:val="24"/>
          <w:szCs w:val="24"/>
          <w:highlight w:val="none"/>
          <w:lang w:val="en-US" w:eastAsia="zh-CN"/>
        </w:rPr>
        <w:t>阜阳市颍州区</w:t>
      </w:r>
      <w:r>
        <w:rPr>
          <w:rFonts w:hint="eastAsia" w:ascii="宋体" w:hAnsi="宋体" w:cs="宋体"/>
          <w:color w:val="auto"/>
          <w:sz w:val="24"/>
          <w:szCs w:val="24"/>
          <w:highlight w:val="none"/>
        </w:rPr>
        <w:t>三清路阜阳市民中心</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rPr>
        <w:t>楼西北角</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号厅）。</w:t>
      </w:r>
      <w:bookmarkEnd w:id="19"/>
      <w:bookmarkEnd w:id="20"/>
      <w:bookmarkStart w:id="21" w:name="_Toc247085677"/>
      <w:bookmarkStart w:id="22" w:name="_Toc157499355"/>
      <w:bookmarkStart w:id="23" w:name="_Toc179632533"/>
      <w:bookmarkStart w:id="24" w:name="_Toc246996163"/>
      <w:bookmarkStart w:id="25" w:name="_Toc246996906"/>
      <w:bookmarkStart w:id="26" w:name="_Toc296602407"/>
    </w:p>
    <w:bookmarkEnd w:id="21"/>
    <w:bookmarkEnd w:id="22"/>
    <w:bookmarkEnd w:id="23"/>
    <w:bookmarkEnd w:id="24"/>
    <w:bookmarkEnd w:id="25"/>
    <w:bookmarkEnd w:id="26"/>
    <w:p w14:paraId="24C5749F">
      <w:pPr>
        <w:keepNext w:val="0"/>
        <w:keepLines w:val="0"/>
        <w:pageBreakBefore w:val="0"/>
        <w:shd w:val="clear"/>
        <w:kinsoku/>
        <w:wordWrap/>
        <w:overflowPunct/>
        <w:bidi w:val="0"/>
        <w:spacing w:line="360" w:lineRule="auto"/>
        <w:textAlignment w:val="auto"/>
        <w:outlineLvl w:val="1"/>
        <w:rPr>
          <w:rFonts w:ascii="宋体" w:hAnsi="宋体" w:cs="宋体"/>
          <w:color w:val="auto"/>
          <w:sz w:val="24"/>
          <w:szCs w:val="24"/>
          <w:highlight w:val="none"/>
        </w:rPr>
      </w:pPr>
      <w:bookmarkStart w:id="27" w:name="_Toc355604670"/>
      <w:r>
        <w:rPr>
          <w:rFonts w:hint="eastAsia" w:ascii="宋体" w:hAnsi="宋体" w:cs="宋体"/>
          <w:color w:val="auto"/>
          <w:sz w:val="24"/>
          <w:szCs w:val="24"/>
          <w:highlight w:val="none"/>
        </w:rPr>
        <w:t xml:space="preserve">   </w:t>
      </w:r>
      <w:bookmarkEnd w:id="27"/>
      <w:r>
        <w:rPr>
          <w:rFonts w:hint="eastAsia" w:ascii="宋体" w:hAnsi="宋体" w:cs="宋体"/>
          <w:color w:val="auto"/>
          <w:sz w:val="24"/>
          <w:szCs w:val="24"/>
          <w:highlight w:val="none"/>
        </w:rPr>
        <w:t>五、投标文件递交时间、截止时间及地点</w:t>
      </w:r>
    </w:p>
    <w:p w14:paraId="595A4D4D">
      <w:pPr>
        <w:keepNext w:val="0"/>
        <w:keepLines w:val="0"/>
        <w:pageBreakBefore w:val="0"/>
        <w:shd w:val="clear"/>
        <w:kinsoku/>
        <w:wordWrap/>
        <w:overflowPunct/>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1、投标文件递交时间:投标截止时间前 2小时内。</w:t>
      </w:r>
    </w:p>
    <w:p w14:paraId="1996DA01">
      <w:pPr>
        <w:keepNext w:val="0"/>
        <w:keepLines w:val="0"/>
        <w:pageBreakBefore w:val="0"/>
        <w:shd w:val="clear"/>
        <w:kinsoku/>
        <w:wordWrap/>
        <w:overflowPunct/>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2、投标文件递交的截止时间同开标时间。</w:t>
      </w:r>
    </w:p>
    <w:p w14:paraId="044C81BA">
      <w:pPr>
        <w:keepNext w:val="0"/>
        <w:keepLines w:val="0"/>
        <w:pageBreakBefore w:val="0"/>
        <w:shd w:val="clear"/>
        <w:kinsoku/>
        <w:wordWrap/>
        <w:overflowPunct/>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3、投标文件递交地点：招标人指定电子邮箱（详见其他补充事宜）。</w:t>
      </w:r>
    </w:p>
    <w:p w14:paraId="2FA9B7AE">
      <w:pPr>
        <w:keepNext w:val="0"/>
        <w:keepLines w:val="0"/>
        <w:pageBreakBefore w:val="0"/>
        <w:shd w:val="clear"/>
        <w:kinsoku/>
        <w:wordWrap/>
        <w:overflowPunct/>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4、逾期送达的或者未送达指定地点的投标文件，招标人拒绝接收。</w:t>
      </w:r>
    </w:p>
    <w:p w14:paraId="29B31426">
      <w:pPr>
        <w:keepNext w:val="0"/>
        <w:keepLines w:val="0"/>
        <w:pageBreakBefore w:val="0"/>
        <w:shd w:val="clear"/>
        <w:kinsoku/>
        <w:wordWrap/>
        <w:overflowPunct/>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六、联系方法</w:t>
      </w:r>
    </w:p>
    <w:p w14:paraId="4F455436">
      <w:pPr>
        <w:keepNext w:val="0"/>
        <w:keepLines w:val="0"/>
        <w:pageBreakBefore w:val="0"/>
        <w:shd w:val="clear"/>
        <w:kinsoku/>
        <w:wordWrap/>
        <w:overflowPunct/>
        <w:bidi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（一）项目单位：</w:t>
      </w:r>
      <w:r>
        <w:rPr>
          <w:rFonts w:hint="eastAsia" w:ascii="宋体" w:hAnsi="宋体" w:cs="宋体"/>
          <w:color w:val="auto"/>
          <w:sz w:val="24"/>
          <w:szCs w:val="24"/>
          <w:highlight w:val="none"/>
          <w:lang w:eastAsia="zh-CN"/>
        </w:rPr>
        <w:t>阜阳市颍科创新投资有限公司</w:t>
      </w:r>
    </w:p>
    <w:p w14:paraId="4B27DE87">
      <w:pPr>
        <w:keepNext w:val="0"/>
        <w:keepLines w:val="0"/>
        <w:pageBreakBefore w:val="0"/>
        <w:shd w:val="clear"/>
        <w:kinsoku/>
        <w:wordWrap/>
        <w:overflowPunct/>
        <w:bidi w:val="0"/>
        <w:spacing w:line="360" w:lineRule="auto"/>
        <w:ind w:firstLine="720" w:firstLineChars="300"/>
        <w:textAlignment w:val="auto"/>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sz w:val="24"/>
          <w:szCs w:val="24"/>
          <w:highlight w:val="none"/>
          <w:lang w:eastAsia="zh-CN"/>
        </w:rPr>
        <w:t>宋工</w:t>
      </w:r>
      <w:r>
        <w:rPr>
          <w:rFonts w:hint="eastAsia" w:ascii="宋体" w:hAnsi="宋体" w:cs="宋体"/>
          <w:color w:val="auto"/>
          <w:sz w:val="24"/>
          <w:szCs w:val="24"/>
          <w:highlight w:val="none"/>
        </w:rPr>
        <w:t xml:space="preserve"> </w:t>
      </w:r>
    </w:p>
    <w:p w14:paraId="569260B0">
      <w:pPr>
        <w:keepNext w:val="0"/>
        <w:keepLines w:val="0"/>
        <w:pageBreakBefore w:val="0"/>
        <w:shd w:val="clear"/>
        <w:kinsoku/>
        <w:wordWrap/>
        <w:overflowPunct/>
        <w:bidi w:val="0"/>
        <w:spacing w:line="360" w:lineRule="auto"/>
        <w:ind w:firstLine="720" w:firstLineChars="300"/>
        <w:textAlignment w:val="auto"/>
        <w:rPr>
          <w:rFonts w:ascii="宋体" w:hAnsi="宋体" w:cs="宋体"/>
          <w:color w:val="auto"/>
          <w:sz w:val="24"/>
          <w:szCs w:val="24"/>
          <w:highlight w:val="none"/>
        </w:rPr>
      </w:pPr>
      <w:r>
        <w:rPr>
          <w:rFonts w:hint="eastAsia" w:ascii="宋体" w:hAnsi="宋体" w:cs="宋体"/>
          <w:color w:val="auto"/>
          <w:sz w:val="24"/>
          <w:szCs w:val="24"/>
          <w:highlight w:val="none"/>
        </w:rPr>
        <w:t>电</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话：</w:t>
      </w:r>
      <w:r>
        <w:rPr>
          <w:rFonts w:hint="eastAsia" w:ascii="宋体" w:hAnsi="宋体" w:cs="宋体"/>
          <w:color w:val="auto"/>
          <w:sz w:val="24"/>
          <w:szCs w:val="24"/>
          <w:highlight w:val="none"/>
          <w:lang w:val="en-US" w:eastAsia="zh-CN"/>
        </w:rPr>
        <w:t>0558-2252812</w:t>
      </w:r>
      <w:r>
        <w:rPr>
          <w:rFonts w:hint="eastAsia" w:ascii="宋体" w:hAnsi="宋体" w:cs="宋体"/>
          <w:color w:val="auto"/>
          <w:sz w:val="24"/>
          <w:szCs w:val="24"/>
          <w:highlight w:val="none"/>
        </w:rPr>
        <w:t xml:space="preserve"> </w:t>
      </w:r>
    </w:p>
    <w:p w14:paraId="5F87691B">
      <w:pPr>
        <w:keepNext w:val="0"/>
        <w:keepLines w:val="0"/>
        <w:pageBreakBefore w:val="0"/>
        <w:shd w:val="clear"/>
        <w:kinsoku/>
        <w:wordWrap/>
        <w:overflowPunct/>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（二）招标代理机构：阜阳市同创投资咨询管理有限公司</w:t>
      </w:r>
    </w:p>
    <w:p w14:paraId="5A38CA16">
      <w:pPr>
        <w:keepNext w:val="0"/>
        <w:keepLines w:val="0"/>
        <w:pageBreakBefore w:val="0"/>
        <w:shd w:val="clear"/>
        <w:kinsoku/>
        <w:wordWrap/>
        <w:overflowPunct/>
        <w:bidi w:val="0"/>
        <w:spacing w:line="360" w:lineRule="auto"/>
        <w:ind w:firstLine="720" w:firstLineChars="300"/>
        <w:textAlignment w:val="auto"/>
        <w:rPr>
          <w:rFonts w:ascii="宋体" w:hAnsi="宋体" w:cs="宋体"/>
          <w:color w:val="auto"/>
          <w:sz w:val="24"/>
          <w:szCs w:val="24"/>
          <w:highlight w:val="none"/>
        </w:rPr>
      </w:pPr>
      <w:r>
        <w:rPr>
          <w:rFonts w:hint="eastAsia" w:ascii="宋体" w:hAnsi="宋体" w:cs="宋体"/>
          <w:color w:val="auto"/>
          <w:sz w:val="24"/>
          <w:szCs w:val="24"/>
          <w:highlight w:val="none"/>
        </w:rPr>
        <w:t>地址：</w:t>
      </w:r>
      <w:r>
        <w:rPr>
          <w:rFonts w:hint="eastAsia" w:ascii="宋体" w:hAnsi="宋体" w:cs="宋体"/>
          <w:color w:val="auto"/>
          <w:sz w:val="24"/>
          <w:szCs w:val="24"/>
          <w:highlight w:val="none"/>
          <w:lang w:eastAsia="zh-CN"/>
        </w:rPr>
        <w:t>阜阳市颍州区三清路阜阳市民中心三楼西北角6号厅</w:t>
      </w:r>
      <w:r>
        <w:rPr>
          <w:rFonts w:hint="eastAsia" w:ascii="宋体" w:hAnsi="宋体" w:cs="宋体"/>
          <w:color w:val="auto"/>
          <w:sz w:val="24"/>
          <w:szCs w:val="24"/>
          <w:highlight w:val="none"/>
        </w:rPr>
        <w:t xml:space="preserve">             </w:t>
      </w:r>
    </w:p>
    <w:p w14:paraId="7D66B067">
      <w:pPr>
        <w:keepNext w:val="0"/>
        <w:keepLines w:val="0"/>
        <w:pageBreakBefore w:val="0"/>
        <w:shd w:val="clear"/>
        <w:kinsoku/>
        <w:wordWrap/>
        <w:overflowPunct/>
        <w:topLinePunct/>
        <w:bidi w:val="0"/>
        <w:spacing w:line="360" w:lineRule="auto"/>
        <w:ind w:firstLine="720" w:firstLineChars="3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联 系 人：张工、王工</w:t>
      </w:r>
    </w:p>
    <w:p w14:paraId="72891F02">
      <w:pPr>
        <w:keepNext w:val="0"/>
        <w:keepLines w:val="0"/>
        <w:pageBreakBefore w:val="0"/>
        <w:shd w:val="clear"/>
        <w:kinsoku/>
        <w:wordWrap/>
        <w:overflowPunct/>
        <w:topLinePunct/>
        <w:bidi w:val="0"/>
        <w:spacing w:line="360" w:lineRule="auto"/>
        <w:ind w:firstLine="720" w:firstLineChars="300"/>
        <w:textAlignment w:val="auto"/>
        <w:rPr>
          <w:rFonts w:ascii="宋体" w:hAnsi="宋体" w:cs="宋体"/>
          <w:color w:val="auto"/>
          <w:sz w:val="24"/>
          <w:szCs w:val="24"/>
          <w:highlight w:val="none"/>
        </w:rPr>
      </w:pPr>
      <w:r>
        <w:rPr>
          <w:rFonts w:hint="eastAsia" w:ascii="宋体" w:hAnsi="宋体" w:cs="宋体"/>
          <w:color w:val="auto"/>
          <w:sz w:val="24"/>
          <w:szCs w:val="24"/>
          <w:highlight w:val="none"/>
        </w:rPr>
        <w:t>电话：0558-2166</w:t>
      </w:r>
      <w:r>
        <w:rPr>
          <w:rFonts w:hint="eastAsia" w:ascii="宋体" w:hAnsi="宋体" w:cs="宋体"/>
          <w:color w:val="auto"/>
          <w:sz w:val="24"/>
          <w:szCs w:val="24"/>
          <w:highlight w:val="none"/>
          <w:lang w:val="en-US" w:eastAsia="zh-CN"/>
        </w:rPr>
        <w:t>193</w:t>
      </w:r>
      <w:r>
        <w:rPr>
          <w:rFonts w:hint="eastAsia" w:ascii="宋体" w:hAnsi="宋体" w:cs="宋体"/>
          <w:color w:val="auto"/>
          <w:sz w:val="24"/>
          <w:szCs w:val="24"/>
          <w:highlight w:val="none"/>
        </w:rPr>
        <w:t xml:space="preserve">（备用：0558-2166016）    </w:t>
      </w:r>
    </w:p>
    <w:bookmarkEnd w:id="8"/>
    <w:bookmarkEnd w:id="9"/>
    <w:p w14:paraId="14CACC87">
      <w:pPr>
        <w:keepNext w:val="0"/>
        <w:keepLines w:val="0"/>
        <w:pageBreakBefore w:val="0"/>
        <w:shd w:val="clear"/>
        <w:kinsoku/>
        <w:wordWrap/>
        <w:overflowPunct/>
        <w:bidi w:val="0"/>
        <w:spacing w:after="120" w:line="360" w:lineRule="auto"/>
        <w:ind w:firstLine="480" w:firstLineChars="200"/>
        <w:textAlignment w:val="auto"/>
        <w:rPr>
          <w:rFonts w:ascii="宋体" w:hAnsi="宋体" w:cs="宋体"/>
          <w:bCs/>
          <w:color w:val="auto"/>
          <w:kern w:val="0"/>
          <w:sz w:val="24"/>
          <w:szCs w:val="24"/>
          <w:highlight w:val="none"/>
        </w:rPr>
      </w:pPr>
      <w:r>
        <w:rPr>
          <w:rFonts w:hint="eastAsia" w:ascii="宋体" w:hAnsi="宋体" w:cs="宋体"/>
          <w:bCs/>
          <w:color w:val="auto"/>
          <w:kern w:val="0"/>
          <w:sz w:val="24"/>
          <w:szCs w:val="24"/>
          <w:highlight w:val="none"/>
        </w:rPr>
        <w:t>七、其他补充事宜</w:t>
      </w:r>
    </w:p>
    <w:p w14:paraId="61062185">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本项目采用电子邮箱接收投标文件，不再进行现场递交，具体办法如下：</w:t>
      </w:r>
    </w:p>
    <w:p w14:paraId="1FF8B4F4">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（1）电子邮箱地址的获取方式：</w:t>
      </w:r>
    </w:p>
    <w:p w14:paraId="3CA9764C">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投标截止时间前两小时内，代理机构工作人员在招标人、现场监督员（如有）共同见证下现场申请临时电子邮箱地址，并将电子邮箱地址及时发布在</w:t>
      </w:r>
      <w:r>
        <w:rPr>
          <w:rFonts w:hint="eastAsia" w:ascii="宋体" w:hAnsi="宋体" w:cs="宋体"/>
          <w:color w:val="auto"/>
          <w:sz w:val="24"/>
          <w:szCs w:val="24"/>
          <w:highlight w:val="none"/>
          <w:lang w:eastAsia="zh-CN"/>
        </w:rPr>
        <w:t>阜阳市颍科创新投资有限公司</w:t>
      </w:r>
      <w:r>
        <w:rPr>
          <w:rFonts w:hint="eastAsia" w:ascii="宋体" w:hAnsi="宋体" w:cs="宋体"/>
          <w:color w:val="auto"/>
          <w:sz w:val="24"/>
          <w:szCs w:val="24"/>
          <w:highlight w:val="none"/>
        </w:rPr>
        <w:t>网站</w:t>
      </w:r>
      <w:r>
        <w:rPr>
          <w:rFonts w:hint="eastAsia" w:ascii="宋体" w:hAnsi="宋体" w:cs="宋体"/>
          <w:color w:val="auto"/>
          <w:sz w:val="24"/>
          <w:szCs w:val="24"/>
          <w:highlight w:val="none"/>
          <w:lang w:eastAsia="zh-CN"/>
        </w:rPr>
        <w:t>http://www.yingkecapital.cn/</w:t>
      </w:r>
      <w:r>
        <w:rPr>
          <w:rFonts w:hint="eastAsia" w:ascii="宋体" w:hAnsi="宋体" w:cs="宋体"/>
          <w:color w:val="auto"/>
          <w:sz w:val="24"/>
          <w:szCs w:val="24"/>
          <w:highlight w:val="none"/>
        </w:rPr>
        <w:t>网站中。各潜在投标人应在投标截止时间前两小时内随时关注该项目的更正公告、答疑或澄清，及时获取电子邮箱地址。</w:t>
      </w:r>
    </w:p>
    <w:p w14:paraId="42EB80E7">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（2）电子版投标文件的递交方式：</w:t>
      </w:r>
    </w:p>
    <w:p w14:paraId="43C30DEC">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各潜在供应商应提前将该项目签字盖章齐全的电子版PDF格式的响应文件，压缩为一个压缩包上传至临时邮箱，压缩包和邮件名称均须设置成：投标人名称+项目名称+授权人姓名+授权人手机号码，且邮件内容与邮件名称相统一，如因投标人邮件名称标识错误或邮件内容混传，责任自负。</w:t>
      </w:r>
    </w:p>
    <w:p w14:paraId="3282D368">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以邮件系统显示的接收时间作为投标人递交投标文件的时间，投标截止时间后电子邮箱接收到的投标文件无效。若同一投标人在投标文件递交截止时间前于电子邮箱内提交多份投标文件的，以递交时间最晚的投标文件，作为本次项目的正式投标文件，递交投标文件最晚的邮箱作为该投标人的指定邮箱。逾期提交的或者未提交至电子邮箱的投标文件，招标人拒绝接收。</w:t>
      </w:r>
    </w:p>
    <w:p w14:paraId="2FEF1C6E">
      <w:pPr>
        <w:keepNext w:val="0"/>
        <w:keepLines w:val="0"/>
        <w:pageBreakBefore w:val="0"/>
        <w:shd w:val="clear"/>
        <w:kinsoku/>
        <w:wordWrap/>
        <w:overflowPunct/>
        <w:bidi w:val="0"/>
        <w:spacing w:after="120" w:line="360" w:lineRule="auto"/>
        <w:ind w:left="420" w:leftChars="20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（3）电子版投标文件询标方式：</w:t>
      </w:r>
    </w:p>
    <w:p w14:paraId="45825FE1">
      <w:pPr>
        <w:keepNext w:val="0"/>
        <w:keepLines w:val="0"/>
        <w:pageBreakBefore w:val="0"/>
        <w:shd w:val="clear"/>
        <w:kinsoku/>
        <w:wordWrap/>
        <w:overflowPunct/>
        <w:bidi w:val="0"/>
        <w:spacing w:after="120" w:line="360" w:lineRule="auto"/>
        <w:ind w:left="420" w:leftChars="200"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评标委员会依据招标文件对电子版投标文件进行评审。评标过程中需要询标的，评标委员会通过现场监督员与投标人进行电话联系，并将询标函发送至投标人的指定邮箱。投标人作出的澄清修改须在20分钟内通过指定邮箱反馈给评标委员会。投标人须随时保持电话及指定邮箱畅通，否则责任自负。</w:t>
      </w:r>
    </w:p>
    <w:p w14:paraId="7F6A1F3D">
      <w:pPr>
        <w:keepNext w:val="0"/>
        <w:keepLines w:val="0"/>
        <w:pageBreakBefore w:val="0"/>
        <w:shd w:val="clear"/>
        <w:kinsoku/>
        <w:wordWrap/>
        <w:overflowPunct/>
        <w:bidi w:val="0"/>
        <w:spacing w:after="120" w:line="360" w:lineRule="auto"/>
        <w:ind w:left="420" w:leftChars="20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2、按照本招标文件的要求，由招标人负责组建并管理</w:t>
      </w:r>
      <w:r>
        <w:rPr>
          <w:rFonts w:hint="eastAsia" w:ascii="宋体" w:hAnsi="宋体" w:cs="宋体"/>
          <w:color w:val="auto"/>
          <w:sz w:val="24"/>
          <w:szCs w:val="24"/>
          <w:highlight w:val="none"/>
          <w:lang w:val="en-US" w:eastAsia="zh-CN"/>
        </w:rPr>
        <w:t>阜阳市颍科创新投资有限公司中介机构备选库增设会计师事务所服务单位采购项目</w:t>
      </w:r>
      <w:r>
        <w:rPr>
          <w:rFonts w:hint="eastAsia" w:ascii="宋体" w:hAnsi="宋体" w:eastAsia="宋体" w:cs="宋体"/>
          <w:color w:val="auto"/>
          <w:sz w:val="24"/>
          <w:szCs w:val="24"/>
          <w:highlight w:val="none"/>
          <w:lang w:val="en-US" w:eastAsia="zh-CN"/>
        </w:rPr>
        <w:t xml:space="preserve">，有效期为3年（自签订入库框架协议之日起计算）。服务期内考核不合格的单位不得参加下一轮本项目扩库的投标。招标人不保证有效期内入库单位的最低项目数量和项目的连续性。 </w:t>
      </w:r>
    </w:p>
    <w:p w14:paraId="0CF02236">
      <w:pPr>
        <w:keepNext w:val="0"/>
        <w:keepLines w:val="0"/>
        <w:pageBreakBefore w:val="0"/>
        <w:shd w:val="clear"/>
        <w:kinsoku/>
        <w:wordWrap/>
        <w:overflowPunct/>
        <w:bidi w:val="0"/>
        <w:spacing w:after="120" w:line="360" w:lineRule="auto"/>
        <w:ind w:left="420" w:leftChars="20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3、招标人采取重大失误淘汰制，对</w:t>
      </w:r>
      <w:r>
        <w:rPr>
          <w:rFonts w:hint="eastAsia" w:ascii="宋体" w:hAnsi="宋体" w:cs="宋体"/>
          <w:color w:val="auto"/>
          <w:sz w:val="24"/>
          <w:szCs w:val="24"/>
          <w:highlight w:val="none"/>
          <w:lang w:val="en-US" w:eastAsia="zh-CN"/>
        </w:rPr>
        <w:t>出现重大失误</w:t>
      </w:r>
      <w:r>
        <w:rPr>
          <w:rFonts w:hint="eastAsia" w:ascii="宋体" w:hAnsi="宋体" w:eastAsia="宋体" w:cs="宋体"/>
          <w:color w:val="auto"/>
          <w:sz w:val="24"/>
          <w:szCs w:val="24"/>
          <w:highlight w:val="none"/>
          <w:lang w:val="en-US" w:eastAsia="zh-CN"/>
        </w:rPr>
        <w:t>的企业予以清除出库，各入库单位必须就以后所授项目积极响应，如有违规现象，招标人有权将其清除出库。</w:t>
      </w:r>
    </w:p>
    <w:p w14:paraId="464522DA">
      <w:pPr>
        <w:keepNext w:val="0"/>
        <w:keepLines w:val="0"/>
        <w:pageBreakBefore w:val="0"/>
        <w:shd w:val="clear"/>
        <w:kinsoku/>
        <w:wordWrap/>
        <w:overflowPunct/>
        <w:bidi w:val="0"/>
        <w:spacing w:line="360" w:lineRule="auto"/>
        <w:textAlignment w:val="auto"/>
        <w:rPr>
          <w:rFonts w:ascii="宋体" w:hAnsi="宋体" w:cs="宋体"/>
          <w:color w:val="auto"/>
          <w:sz w:val="24"/>
          <w:szCs w:val="24"/>
          <w:highlight w:val="none"/>
        </w:rPr>
      </w:pPr>
    </w:p>
    <w:p w14:paraId="4201FE75">
      <w:pPr>
        <w:keepNext w:val="0"/>
        <w:keepLines w:val="0"/>
        <w:pageBreakBefore w:val="0"/>
        <w:shd w:val="clear"/>
        <w:kinsoku/>
        <w:wordWrap/>
        <w:overflowPunct/>
        <w:bidi w:val="0"/>
        <w:spacing w:line="360" w:lineRule="auto"/>
        <w:jc w:val="right"/>
        <w:textAlignment w:val="auto"/>
        <w:rPr>
          <w:rFonts w:ascii="宋体" w:hAnsi="宋体" w:cs="宋体"/>
          <w:color w:val="auto"/>
          <w:sz w:val="24"/>
          <w:szCs w:val="24"/>
          <w:highlight w:val="none"/>
        </w:rPr>
      </w:pPr>
      <w:r>
        <w:rPr>
          <w:rFonts w:hint="eastAsia" w:ascii="宋体" w:hAnsi="宋体" w:cs="宋体"/>
          <w:color w:val="auto"/>
          <w:sz w:val="24"/>
          <w:szCs w:val="24"/>
          <w:highlight w:val="none"/>
        </w:rPr>
        <w:t>202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日</w:t>
      </w:r>
    </w:p>
    <w:bookmarkEnd w:id="10"/>
    <w:p w14:paraId="46E68C88">
      <w:pPr>
        <w:shd w:val="clear"/>
        <w:spacing w:line="360" w:lineRule="auto"/>
        <w:rPr>
          <w:rFonts w:ascii="宋体" w:hAnsi="宋体" w:cs="宋体"/>
          <w:color w:val="auto"/>
          <w:highlight w:val="none"/>
        </w:rPr>
      </w:pPr>
    </w:p>
    <w:p w14:paraId="7AE9F086">
      <w:pPr>
        <w:shd w:val="clear"/>
        <w:spacing w:line="360" w:lineRule="auto"/>
        <w:rPr>
          <w:rFonts w:ascii="宋体" w:hAnsi="宋体" w:cs="宋体"/>
          <w:color w:val="auto"/>
          <w:highlight w:val="none"/>
        </w:rPr>
      </w:pPr>
    </w:p>
    <w:p w14:paraId="64600AF1">
      <w:pPr>
        <w:shd w:val="clear"/>
        <w:spacing w:line="360" w:lineRule="auto"/>
        <w:jc w:val="center"/>
        <w:outlineLvl w:val="0"/>
        <w:rPr>
          <w:rStyle w:val="18"/>
          <w:rFonts w:ascii="宋体" w:hAnsi="宋体" w:cs="宋体"/>
          <w:color w:val="auto"/>
          <w:highlight w:val="none"/>
        </w:rPr>
      </w:pPr>
      <w:bookmarkStart w:id="28" w:name="_Toc8328"/>
      <w:bookmarkStart w:id="29" w:name="_Toc10813"/>
      <w:bookmarkStart w:id="30" w:name="_Toc368985788"/>
      <w:bookmarkStart w:id="31" w:name="_Toc23477"/>
      <w:r>
        <w:rPr>
          <w:rStyle w:val="18"/>
          <w:rFonts w:hint="eastAsia" w:ascii="宋体" w:hAnsi="宋体" w:cs="宋体"/>
          <w:color w:val="auto"/>
          <w:highlight w:val="none"/>
        </w:rPr>
        <w:br w:type="page"/>
      </w:r>
      <w:bookmarkStart w:id="32" w:name="_Toc535314223"/>
      <w:r>
        <w:rPr>
          <w:rStyle w:val="18"/>
          <w:rFonts w:hint="eastAsia" w:ascii="宋体" w:hAnsi="宋体" w:cs="宋体"/>
          <w:color w:val="auto"/>
          <w:sz w:val="32"/>
          <w:szCs w:val="32"/>
          <w:highlight w:val="none"/>
        </w:rPr>
        <w:t>第二章 投标人须知</w:t>
      </w:r>
      <w:bookmarkEnd w:id="28"/>
      <w:bookmarkEnd w:id="29"/>
      <w:bookmarkEnd w:id="30"/>
      <w:bookmarkEnd w:id="31"/>
      <w:bookmarkEnd w:id="32"/>
    </w:p>
    <w:p w14:paraId="3A4D8E36">
      <w:pPr>
        <w:shd w:val="clear"/>
        <w:spacing w:line="360" w:lineRule="auto"/>
        <w:jc w:val="center"/>
        <w:outlineLvl w:val="1"/>
        <w:rPr>
          <w:rFonts w:ascii="宋体" w:hAnsi="宋体" w:cs="宋体"/>
          <w:b/>
          <w:bCs/>
          <w:color w:val="auto"/>
          <w:sz w:val="28"/>
          <w:szCs w:val="28"/>
          <w:highlight w:val="none"/>
        </w:rPr>
      </w:pPr>
      <w:bookmarkStart w:id="33" w:name="_Toc13553"/>
      <w:bookmarkStart w:id="34" w:name="_Toc487641629"/>
      <w:bookmarkStart w:id="35" w:name="_Toc487461248"/>
      <w:bookmarkStart w:id="36" w:name="_Toc493081564"/>
      <w:bookmarkStart w:id="37" w:name="_Toc28026"/>
      <w:bookmarkStart w:id="38" w:name="_Toc17457"/>
      <w:bookmarkStart w:id="39" w:name="_Toc2961"/>
      <w:bookmarkStart w:id="40" w:name="_Toc152045529"/>
      <w:bookmarkStart w:id="41" w:name="_Toc152042305"/>
      <w:bookmarkStart w:id="42" w:name="_Toc29425"/>
      <w:bookmarkStart w:id="43" w:name="_Toc144974497"/>
      <w:bookmarkStart w:id="44" w:name="_Toc179632546"/>
      <w:r>
        <w:rPr>
          <w:rFonts w:hint="eastAsia" w:ascii="宋体" w:hAnsi="宋体" w:cs="宋体"/>
          <w:b/>
          <w:bCs/>
          <w:color w:val="auto"/>
          <w:sz w:val="28"/>
          <w:szCs w:val="28"/>
          <w:highlight w:val="none"/>
        </w:rPr>
        <w:t>投标人须知前附表</w:t>
      </w:r>
      <w:bookmarkEnd w:id="33"/>
      <w:bookmarkEnd w:id="34"/>
      <w:bookmarkEnd w:id="35"/>
      <w:bookmarkEnd w:id="36"/>
      <w:bookmarkEnd w:id="37"/>
    </w:p>
    <w:tbl>
      <w:tblPr>
        <w:tblStyle w:val="15"/>
        <w:tblW w:w="10057"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284"/>
        <w:gridCol w:w="6780"/>
      </w:tblGrid>
      <w:tr w14:paraId="15A1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93" w:type="dxa"/>
            <w:vAlign w:val="center"/>
          </w:tcPr>
          <w:p w14:paraId="5D3F87F4">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条款号</w:t>
            </w:r>
          </w:p>
        </w:tc>
        <w:tc>
          <w:tcPr>
            <w:tcW w:w="2284" w:type="dxa"/>
            <w:vAlign w:val="center"/>
          </w:tcPr>
          <w:p w14:paraId="77F12D1F">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条  款  名  称</w:t>
            </w:r>
          </w:p>
        </w:tc>
        <w:tc>
          <w:tcPr>
            <w:tcW w:w="6780" w:type="dxa"/>
            <w:vAlign w:val="center"/>
          </w:tcPr>
          <w:p w14:paraId="140B86D5">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编  列  内  容</w:t>
            </w:r>
          </w:p>
        </w:tc>
      </w:tr>
      <w:tr w14:paraId="5440E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993" w:type="dxa"/>
            <w:vAlign w:val="center"/>
          </w:tcPr>
          <w:p w14:paraId="6A7E132A">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1.1.1</w:t>
            </w:r>
          </w:p>
        </w:tc>
        <w:tc>
          <w:tcPr>
            <w:tcW w:w="2284" w:type="dxa"/>
            <w:vAlign w:val="center"/>
          </w:tcPr>
          <w:p w14:paraId="41CE92B5">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招标人</w:t>
            </w:r>
          </w:p>
        </w:tc>
        <w:tc>
          <w:tcPr>
            <w:tcW w:w="6780" w:type="dxa"/>
            <w:vAlign w:val="center"/>
          </w:tcPr>
          <w:p w14:paraId="24634290">
            <w:pPr>
              <w:shd w:val="clear"/>
              <w:spacing w:line="360" w:lineRule="auto"/>
              <w:jc w:val="left"/>
              <w:rPr>
                <w:rFonts w:ascii="宋体" w:hAnsi="宋体" w:cs="宋体"/>
                <w:color w:val="auto"/>
                <w:sz w:val="22"/>
                <w:szCs w:val="22"/>
                <w:highlight w:val="none"/>
                <w:u w:val="single"/>
              </w:rPr>
            </w:pPr>
            <w:r>
              <w:rPr>
                <w:rFonts w:hint="eastAsia" w:ascii="宋体" w:hAnsi="宋体" w:cs="宋体"/>
                <w:color w:val="auto"/>
                <w:sz w:val="22"/>
                <w:szCs w:val="22"/>
                <w:highlight w:val="none"/>
              </w:rPr>
              <w:t>名    称：</w:t>
            </w:r>
            <w:r>
              <w:rPr>
                <w:rFonts w:hint="eastAsia" w:ascii="宋体" w:hAnsi="宋体" w:cs="宋体"/>
                <w:color w:val="auto"/>
                <w:kern w:val="0"/>
                <w:sz w:val="22"/>
                <w:szCs w:val="22"/>
                <w:highlight w:val="none"/>
                <w:lang w:eastAsia="zh-CN"/>
              </w:rPr>
              <w:t>阜阳市颍科创新投资有限公司</w:t>
            </w:r>
            <w:r>
              <w:rPr>
                <w:rFonts w:hint="eastAsia" w:ascii="宋体" w:hAnsi="宋体" w:cs="宋体"/>
                <w:color w:val="auto"/>
                <w:sz w:val="22"/>
                <w:szCs w:val="22"/>
                <w:highlight w:val="none"/>
              </w:rPr>
              <w:t xml:space="preserve"> </w:t>
            </w:r>
          </w:p>
          <w:p w14:paraId="1C21D1CB">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联 系 人：</w:t>
            </w:r>
            <w:r>
              <w:rPr>
                <w:rFonts w:hint="eastAsia" w:ascii="宋体" w:hAnsi="宋体" w:cs="宋体"/>
                <w:color w:val="auto"/>
                <w:sz w:val="22"/>
                <w:szCs w:val="22"/>
                <w:highlight w:val="none"/>
                <w:lang w:eastAsia="zh-CN"/>
              </w:rPr>
              <w:t>宋工</w:t>
            </w:r>
          </w:p>
        </w:tc>
      </w:tr>
      <w:tr w14:paraId="750B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993" w:type="dxa"/>
            <w:vAlign w:val="center"/>
          </w:tcPr>
          <w:p w14:paraId="2BFECEC5">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1.1.2</w:t>
            </w:r>
          </w:p>
        </w:tc>
        <w:tc>
          <w:tcPr>
            <w:tcW w:w="2284" w:type="dxa"/>
            <w:vAlign w:val="center"/>
          </w:tcPr>
          <w:p w14:paraId="2D745347">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招标代理机构</w:t>
            </w:r>
          </w:p>
        </w:tc>
        <w:tc>
          <w:tcPr>
            <w:tcW w:w="6780" w:type="dxa"/>
            <w:vAlign w:val="center"/>
          </w:tcPr>
          <w:p w14:paraId="5C49725B">
            <w:pPr>
              <w:shd w:val="clear"/>
              <w:spacing w:line="360" w:lineRule="auto"/>
              <w:rPr>
                <w:rFonts w:ascii="宋体" w:hAnsi="宋体" w:cs="宋体"/>
                <w:color w:val="auto"/>
                <w:kern w:val="0"/>
                <w:sz w:val="22"/>
                <w:szCs w:val="22"/>
                <w:highlight w:val="none"/>
              </w:rPr>
            </w:pPr>
            <w:r>
              <w:rPr>
                <w:rFonts w:hint="eastAsia" w:ascii="宋体" w:hAnsi="宋体" w:cs="宋体"/>
                <w:color w:val="auto"/>
                <w:kern w:val="0"/>
                <w:sz w:val="22"/>
                <w:szCs w:val="22"/>
                <w:highlight w:val="none"/>
              </w:rPr>
              <w:t xml:space="preserve">招标代理机构：阜阳市同创投资咨询管理有限公司 </w:t>
            </w:r>
          </w:p>
          <w:p w14:paraId="29AB39B6">
            <w:pPr>
              <w:shd w:val="clear"/>
              <w:spacing w:line="360" w:lineRule="auto"/>
              <w:rPr>
                <w:rFonts w:hint="default" w:ascii="宋体" w:hAnsi="宋体" w:eastAsia="宋体" w:cs="宋体"/>
                <w:color w:val="auto"/>
                <w:sz w:val="22"/>
                <w:szCs w:val="22"/>
                <w:highlight w:val="none"/>
                <w:lang w:val="en-US" w:eastAsia="zh-CN"/>
              </w:rPr>
            </w:pPr>
            <w:r>
              <w:rPr>
                <w:rFonts w:hint="eastAsia" w:ascii="宋体" w:hAnsi="宋体" w:cs="宋体"/>
                <w:color w:val="auto"/>
                <w:kern w:val="0"/>
                <w:sz w:val="22"/>
                <w:szCs w:val="22"/>
                <w:highlight w:val="none"/>
              </w:rPr>
              <w:t>联 系 人：</w:t>
            </w:r>
            <w:r>
              <w:rPr>
                <w:rFonts w:hint="eastAsia" w:ascii="宋体" w:hAnsi="宋体" w:cs="宋体"/>
                <w:color w:val="auto"/>
                <w:kern w:val="0"/>
                <w:sz w:val="22"/>
                <w:szCs w:val="22"/>
                <w:highlight w:val="none"/>
                <w:lang w:val="en-US" w:eastAsia="zh-CN"/>
              </w:rPr>
              <w:t>张</w:t>
            </w:r>
            <w:r>
              <w:rPr>
                <w:rFonts w:hint="eastAsia" w:ascii="宋体" w:hAnsi="宋体" w:cs="宋体"/>
                <w:color w:val="auto"/>
                <w:kern w:val="0"/>
                <w:sz w:val="22"/>
                <w:szCs w:val="22"/>
                <w:highlight w:val="none"/>
              </w:rPr>
              <w:t>工</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lang w:val="en-US" w:eastAsia="zh-CN"/>
              </w:rPr>
              <w:t>王工</w:t>
            </w:r>
          </w:p>
        </w:tc>
      </w:tr>
      <w:tr w14:paraId="15D8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993" w:type="dxa"/>
            <w:vAlign w:val="center"/>
          </w:tcPr>
          <w:p w14:paraId="1A1B76BB">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1.1.3</w:t>
            </w:r>
          </w:p>
        </w:tc>
        <w:tc>
          <w:tcPr>
            <w:tcW w:w="2284" w:type="dxa"/>
            <w:vAlign w:val="center"/>
          </w:tcPr>
          <w:p w14:paraId="0469875A">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项目名称</w:t>
            </w:r>
          </w:p>
        </w:tc>
        <w:tc>
          <w:tcPr>
            <w:tcW w:w="6780" w:type="dxa"/>
            <w:vAlign w:val="center"/>
          </w:tcPr>
          <w:p w14:paraId="6644E58E">
            <w:pPr>
              <w:shd w:val="clear"/>
              <w:spacing w:line="360" w:lineRule="auto"/>
              <w:rPr>
                <w:rFonts w:hint="default" w:ascii="宋体" w:hAnsi="宋体" w:eastAsia="宋体" w:cs="宋体"/>
                <w:color w:val="auto"/>
                <w:sz w:val="22"/>
                <w:szCs w:val="22"/>
                <w:highlight w:val="none"/>
                <w:u w:val="single"/>
                <w:lang w:val="en-US" w:eastAsia="zh-CN"/>
              </w:rPr>
            </w:pPr>
            <w:r>
              <w:rPr>
                <w:rFonts w:hint="eastAsia" w:ascii="宋体" w:hAnsi="宋体" w:cs="宋体"/>
                <w:color w:val="auto"/>
                <w:kern w:val="0"/>
                <w:sz w:val="22"/>
                <w:szCs w:val="22"/>
                <w:highlight w:val="none"/>
                <w:lang w:val="en-US" w:eastAsia="zh-CN"/>
              </w:rPr>
              <w:t>详见招标公告</w:t>
            </w:r>
          </w:p>
        </w:tc>
      </w:tr>
      <w:tr w14:paraId="5340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exact"/>
        </w:trPr>
        <w:tc>
          <w:tcPr>
            <w:tcW w:w="993" w:type="dxa"/>
            <w:vAlign w:val="center"/>
          </w:tcPr>
          <w:p w14:paraId="41233C30">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1.1.4</w:t>
            </w:r>
          </w:p>
        </w:tc>
        <w:tc>
          <w:tcPr>
            <w:tcW w:w="2284" w:type="dxa"/>
            <w:vAlign w:val="center"/>
          </w:tcPr>
          <w:p w14:paraId="6A56E5D2">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服务地点</w:t>
            </w:r>
          </w:p>
        </w:tc>
        <w:tc>
          <w:tcPr>
            <w:tcW w:w="6780" w:type="dxa"/>
            <w:vAlign w:val="center"/>
          </w:tcPr>
          <w:p w14:paraId="2E475D5A">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阜阳市</w:t>
            </w:r>
          </w:p>
          <w:p w14:paraId="6405D22B">
            <w:pPr>
              <w:shd w:val="clear"/>
              <w:spacing w:after="120" w:line="360" w:lineRule="auto"/>
              <w:ind w:left="420" w:leftChars="200" w:firstLine="440" w:firstLineChars="200"/>
              <w:rPr>
                <w:rFonts w:ascii="宋体" w:hAnsi="宋体" w:cs="宋体"/>
                <w:color w:val="auto"/>
                <w:sz w:val="22"/>
                <w:szCs w:val="22"/>
                <w:highlight w:val="none"/>
              </w:rPr>
            </w:pPr>
          </w:p>
        </w:tc>
      </w:tr>
      <w:tr w14:paraId="0177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exact"/>
        </w:trPr>
        <w:tc>
          <w:tcPr>
            <w:tcW w:w="993" w:type="dxa"/>
            <w:vAlign w:val="center"/>
          </w:tcPr>
          <w:p w14:paraId="3A471EE0">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1.2.1</w:t>
            </w:r>
          </w:p>
        </w:tc>
        <w:tc>
          <w:tcPr>
            <w:tcW w:w="2284" w:type="dxa"/>
            <w:vAlign w:val="center"/>
          </w:tcPr>
          <w:p w14:paraId="712E19CD">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资金来源</w:t>
            </w:r>
          </w:p>
        </w:tc>
        <w:tc>
          <w:tcPr>
            <w:tcW w:w="6780" w:type="dxa"/>
            <w:vAlign w:val="center"/>
          </w:tcPr>
          <w:p w14:paraId="2A6229C1">
            <w:pPr>
              <w:shd w:val="clear"/>
              <w:spacing w:line="360" w:lineRule="auto"/>
              <w:rPr>
                <w:rFonts w:ascii="宋体" w:hAnsi="宋体" w:cs="宋体"/>
                <w:color w:val="auto"/>
                <w:sz w:val="22"/>
                <w:szCs w:val="22"/>
                <w:highlight w:val="none"/>
                <w:u w:val="single"/>
              </w:rPr>
            </w:pPr>
            <w:r>
              <w:rPr>
                <w:rFonts w:hint="eastAsia" w:ascii="宋体" w:hAnsi="宋体" w:cs="宋体"/>
                <w:color w:val="auto"/>
                <w:sz w:val="22"/>
                <w:szCs w:val="22"/>
                <w:highlight w:val="none"/>
              </w:rPr>
              <w:t>自筹资金</w:t>
            </w:r>
          </w:p>
        </w:tc>
      </w:tr>
      <w:tr w14:paraId="4AA8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exact"/>
        </w:trPr>
        <w:tc>
          <w:tcPr>
            <w:tcW w:w="993" w:type="dxa"/>
            <w:vAlign w:val="center"/>
          </w:tcPr>
          <w:p w14:paraId="45DB736B">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1.2.2</w:t>
            </w:r>
          </w:p>
        </w:tc>
        <w:tc>
          <w:tcPr>
            <w:tcW w:w="2284" w:type="dxa"/>
            <w:vAlign w:val="center"/>
          </w:tcPr>
          <w:p w14:paraId="42D101D7">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出资比例</w:t>
            </w:r>
          </w:p>
        </w:tc>
        <w:tc>
          <w:tcPr>
            <w:tcW w:w="6780" w:type="dxa"/>
            <w:vAlign w:val="center"/>
          </w:tcPr>
          <w:p w14:paraId="1597EA94">
            <w:pPr>
              <w:shd w:val="clear"/>
              <w:spacing w:line="360" w:lineRule="auto"/>
              <w:rPr>
                <w:rFonts w:ascii="宋体" w:hAnsi="宋体" w:cs="宋体"/>
                <w:color w:val="auto"/>
                <w:sz w:val="22"/>
                <w:szCs w:val="22"/>
                <w:highlight w:val="none"/>
                <w:u w:val="single"/>
              </w:rPr>
            </w:pPr>
            <w:r>
              <w:rPr>
                <w:rFonts w:hint="eastAsia" w:ascii="宋体" w:hAnsi="宋体" w:cs="宋体"/>
                <w:color w:val="auto"/>
                <w:sz w:val="22"/>
                <w:szCs w:val="22"/>
                <w:highlight w:val="none"/>
              </w:rPr>
              <w:t xml:space="preserve">100% </w:t>
            </w:r>
          </w:p>
        </w:tc>
      </w:tr>
      <w:tr w14:paraId="0979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exact"/>
        </w:trPr>
        <w:tc>
          <w:tcPr>
            <w:tcW w:w="993" w:type="dxa"/>
            <w:vAlign w:val="center"/>
          </w:tcPr>
          <w:p w14:paraId="58044C51">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1.2.3</w:t>
            </w:r>
          </w:p>
        </w:tc>
        <w:tc>
          <w:tcPr>
            <w:tcW w:w="2284" w:type="dxa"/>
            <w:vAlign w:val="center"/>
          </w:tcPr>
          <w:p w14:paraId="18373933">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资金落实情况</w:t>
            </w:r>
          </w:p>
        </w:tc>
        <w:tc>
          <w:tcPr>
            <w:tcW w:w="6780" w:type="dxa"/>
            <w:vAlign w:val="center"/>
          </w:tcPr>
          <w:p w14:paraId="7E075D12">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已落实</w:t>
            </w:r>
          </w:p>
        </w:tc>
      </w:tr>
      <w:tr w14:paraId="5C07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93" w:type="dxa"/>
            <w:vAlign w:val="center"/>
          </w:tcPr>
          <w:p w14:paraId="746C4EA2">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1.3.1</w:t>
            </w:r>
          </w:p>
        </w:tc>
        <w:tc>
          <w:tcPr>
            <w:tcW w:w="2284" w:type="dxa"/>
            <w:vAlign w:val="center"/>
          </w:tcPr>
          <w:p w14:paraId="3D1EC982">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招标范围</w:t>
            </w:r>
          </w:p>
        </w:tc>
        <w:tc>
          <w:tcPr>
            <w:tcW w:w="6780" w:type="dxa"/>
          </w:tcPr>
          <w:p w14:paraId="5B36C94E">
            <w:pPr>
              <w:shd w:val="clear"/>
              <w:spacing w:after="120" w:line="360" w:lineRule="auto"/>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14:paraId="5049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36C0E0D">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1.3.2</w:t>
            </w:r>
          </w:p>
        </w:tc>
        <w:tc>
          <w:tcPr>
            <w:tcW w:w="2284" w:type="dxa"/>
            <w:vAlign w:val="center"/>
          </w:tcPr>
          <w:p w14:paraId="5E0C2356">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服务期限</w:t>
            </w:r>
          </w:p>
        </w:tc>
        <w:tc>
          <w:tcPr>
            <w:tcW w:w="6780" w:type="dxa"/>
            <w:vAlign w:val="center"/>
          </w:tcPr>
          <w:p w14:paraId="16AC3A13">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14:paraId="5488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6C7A2F0B">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1.3.3</w:t>
            </w:r>
          </w:p>
        </w:tc>
        <w:tc>
          <w:tcPr>
            <w:tcW w:w="2284" w:type="dxa"/>
            <w:vAlign w:val="center"/>
          </w:tcPr>
          <w:p w14:paraId="654FCFEC">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质量标准</w:t>
            </w:r>
          </w:p>
        </w:tc>
        <w:tc>
          <w:tcPr>
            <w:tcW w:w="6780" w:type="dxa"/>
            <w:vAlign w:val="center"/>
          </w:tcPr>
          <w:p w14:paraId="09107BBA">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受委托完成的成果满足招标人及国家、省、阜阳市现行有关文件要求，符合国家相关标准规范。</w:t>
            </w:r>
          </w:p>
        </w:tc>
      </w:tr>
      <w:tr w14:paraId="3A6E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93" w:type="dxa"/>
            <w:vAlign w:val="center"/>
          </w:tcPr>
          <w:p w14:paraId="7903A7B8">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1.4.1</w:t>
            </w:r>
          </w:p>
        </w:tc>
        <w:tc>
          <w:tcPr>
            <w:tcW w:w="2284" w:type="dxa"/>
            <w:vAlign w:val="center"/>
          </w:tcPr>
          <w:p w14:paraId="60DD484D">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 xml:space="preserve">投标人资格要求 </w:t>
            </w:r>
          </w:p>
        </w:tc>
        <w:tc>
          <w:tcPr>
            <w:tcW w:w="6780" w:type="dxa"/>
          </w:tcPr>
          <w:p w14:paraId="5E265ED3">
            <w:pPr>
              <w:widowControl/>
              <w:shd w:val="clear" w:color="auto"/>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14:paraId="7B89B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93" w:type="dxa"/>
            <w:vAlign w:val="center"/>
          </w:tcPr>
          <w:p w14:paraId="56FB994C">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1.4.2</w:t>
            </w:r>
          </w:p>
        </w:tc>
        <w:tc>
          <w:tcPr>
            <w:tcW w:w="2284" w:type="dxa"/>
            <w:vAlign w:val="center"/>
          </w:tcPr>
          <w:p w14:paraId="5EB207BD">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是否接受联合体投标</w:t>
            </w:r>
          </w:p>
        </w:tc>
        <w:tc>
          <w:tcPr>
            <w:tcW w:w="6780" w:type="dxa"/>
            <w:vAlign w:val="center"/>
          </w:tcPr>
          <w:p w14:paraId="5F588038">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不接受</w:t>
            </w:r>
          </w:p>
        </w:tc>
      </w:tr>
      <w:tr w14:paraId="25FC1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08BBC807">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1.5</w:t>
            </w:r>
          </w:p>
        </w:tc>
        <w:tc>
          <w:tcPr>
            <w:tcW w:w="2284" w:type="dxa"/>
            <w:vAlign w:val="center"/>
          </w:tcPr>
          <w:p w14:paraId="6DAB5902">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踏勘现场</w:t>
            </w:r>
          </w:p>
        </w:tc>
        <w:tc>
          <w:tcPr>
            <w:tcW w:w="6780" w:type="dxa"/>
            <w:vAlign w:val="center"/>
          </w:tcPr>
          <w:p w14:paraId="3D876FC9">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不组织；投标人须自行踏勘现场，若不自行踏勘现场导致投标报价少报等一切后果由投标人负责，后期不予增加任何费用。如有需要可向招标人提出帮助，但自行踏勘所发生的一切费用及后果由投标人负责。</w:t>
            </w:r>
          </w:p>
        </w:tc>
      </w:tr>
      <w:tr w14:paraId="6691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CD8CBF0">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1.6</w:t>
            </w:r>
          </w:p>
        </w:tc>
        <w:tc>
          <w:tcPr>
            <w:tcW w:w="2284" w:type="dxa"/>
            <w:vAlign w:val="center"/>
          </w:tcPr>
          <w:p w14:paraId="532DDAD7">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投标预备会</w:t>
            </w:r>
          </w:p>
        </w:tc>
        <w:tc>
          <w:tcPr>
            <w:tcW w:w="6780" w:type="dxa"/>
            <w:vAlign w:val="center"/>
          </w:tcPr>
          <w:p w14:paraId="2028D916">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不召开</w:t>
            </w:r>
          </w:p>
        </w:tc>
      </w:tr>
      <w:tr w14:paraId="6ACD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01E13B89">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1.7</w:t>
            </w:r>
          </w:p>
        </w:tc>
        <w:tc>
          <w:tcPr>
            <w:tcW w:w="2284" w:type="dxa"/>
            <w:vAlign w:val="center"/>
          </w:tcPr>
          <w:p w14:paraId="512E9AD9">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分  包</w:t>
            </w:r>
          </w:p>
        </w:tc>
        <w:tc>
          <w:tcPr>
            <w:tcW w:w="6780" w:type="dxa"/>
            <w:vAlign w:val="center"/>
          </w:tcPr>
          <w:p w14:paraId="390F06E6">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不允许</w:t>
            </w:r>
          </w:p>
        </w:tc>
      </w:tr>
      <w:tr w14:paraId="04A1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3F8F60D">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1.8</w:t>
            </w:r>
          </w:p>
        </w:tc>
        <w:tc>
          <w:tcPr>
            <w:tcW w:w="2284" w:type="dxa"/>
            <w:vAlign w:val="center"/>
          </w:tcPr>
          <w:p w14:paraId="346BFF52">
            <w:pPr>
              <w:shd w:val="clear"/>
              <w:spacing w:line="360" w:lineRule="auto"/>
              <w:rPr>
                <w:rFonts w:ascii="宋体" w:hAnsi="宋体" w:cs="宋体"/>
                <w:color w:val="auto"/>
                <w:sz w:val="22"/>
                <w:szCs w:val="22"/>
                <w:highlight w:val="none"/>
              </w:rPr>
            </w:pPr>
            <w:r>
              <w:rPr>
                <w:rFonts w:hint="eastAsia" w:ascii="宋体" w:hAnsi="宋体" w:cs="宋体"/>
                <w:bCs/>
                <w:color w:val="auto"/>
                <w:kern w:val="0"/>
                <w:sz w:val="22"/>
                <w:szCs w:val="22"/>
                <w:highlight w:val="none"/>
              </w:rPr>
              <w:t>偏  离</w:t>
            </w:r>
          </w:p>
        </w:tc>
        <w:tc>
          <w:tcPr>
            <w:tcW w:w="6780" w:type="dxa"/>
            <w:vAlign w:val="center"/>
          </w:tcPr>
          <w:p w14:paraId="19B59C06">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不允许</w:t>
            </w:r>
          </w:p>
        </w:tc>
      </w:tr>
      <w:tr w14:paraId="7167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237E8465">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2.1</w:t>
            </w:r>
          </w:p>
        </w:tc>
        <w:tc>
          <w:tcPr>
            <w:tcW w:w="2284" w:type="dxa"/>
            <w:vAlign w:val="center"/>
          </w:tcPr>
          <w:p w14:paraId="10CFECF7">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构成招标文件的其它材料</w:t>
            </w:r>
          </w:p>
        </w:tc>
        <w:tc>
          <w:tcPr>
            <w:tcW w:w="6780" w:type="dxa"/>
            <w:vAlign w:val="center"/>
          </w:tcPr>
          <w:p w14:paraId="7D63DB12">
            <w:pPr>
              <w:shd w:val="clear"/>
              <w:spacing w:line="360" w:lineRule="auto"/>
              <w:rPr>
                <w:rFonts w:ascii="宋体" w:hAnsi="宋体" w:cs="宋体"/>
                <w:color w:val="auto"/>
                <w:sz w:val="22"/>
                <w:szCs w:val="22"/>
                <w:highlight w:val="none"/>
                <w:u w:val="single"/>
              </w:rPr>
            </w:pPr>
            <w:r>
              <w:rPr>
                <w:rFonts w:hint="eastAsia" w:ascii="宋体" w:hAnsi="宋体" w:cs="宋体"/>
                <w:bCs/>
                <w:color w:val="auto"/>
                <w:sz w:val="22"/>
                <w:szCs w:val="22"/>
                <w:highlight w:val="none"/>
              </w:rPr>
              <w:t>招标文件的澄清、修改文件（答疑回复或更正公告）</w:t>
            </w:r>
          </w:p>
        </w:tc>
      </w:tr>
      <w:tr w14:paraId="1E44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19A0D72E">
            <w:pPr>
              <w:shd w:val="clea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2.2</w:t>
            </w:r>
          </w:p>
          <w:p w14:paraId="0D35C380">
            <w:pPr>
              <w:shd w:val="clear"/>
              <w:spacing w:line="360" w:lineRule="auto"/>
              <w:rPr>
                <w:rFonts w:hint="eastAsia" w:ascii="宋体" w:hAnsi="宋体" w:cs="宋体"/>
                <w:color w:val="auto"/>
                <w:sz w:val="22"/>
                <w:szCs w:val="22"/>
                <w:highlight w:val="none"/>
              </w:rPr>
            </w:pPr>
          </w:p>
        </w:tc>
        <w:tc>
          <w:tcPr>
            <w:tcW w:w="2284" w:type="dxa"/>
            <w:vAlign w:val="center"/>
          </w:tcPr>
          <w:p w14:paraId="519900A6">
            <w:pPr>
              <w:shd w:val="clea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对招标文件提出异议及对异议的答复</w:t>
            </w:r>
          </w:p>
        </w:tc>
        <w:tc>
          <w:tcPr>
            <w:tcW w:w="6780" w:type="dxa"/>
            <w:vAlign w:val="center"/>
          </w:tcPr>
          <w:p w14:paraId="713110DA">
            <w:pPr>
              <w:shd w:val="clea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接受</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的电子邮箱（或公众号）：</w:t>
            </w:r>
            <w:r>
              <w:rPr>
                <w:rFonts w:hint="eastAsia" w:ascii="宋体" w:hAnsi="宋体" w:cs="宋体"/>
                <w:color w:val="auto"/>
                <w:sz w:val="22"/>
                <w:szCs w:val="22"/>
                <w:highlight w:val="none"/>
                <w:lang w:eastAsia="zh-CN"/>
              </w:rPr>
              <w:t>510074315</w:t>
            </w:r>
            <w:r>
              <w:rPr>
                <w:rFonts w:hint="eastAsia" w:ascii="宋体" w:hAnsi="宋体" w:cs="宋体"/>
                <w:color w:val="auto"/>
                <w:sz w:val="22"/>
                <w:szCs w:val="22"/>
                <w:highlight w:val="none"/>
              </w:rPr>
              <w:t xml:space="preserve">@qq.com    </w:t>
            </w:r>
          </w:p>
          <w:p w14:paraId="0E807382">
            <w:pPr>
              <w:shd w:val="clea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rPr>
              <w:t>投标人提出</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的递交方式、截止时间：对招标文件的提出异议应在投标截止时间10日前，以书面形式向招标人、采购代理机构提出</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，联系方式、通讯地址详见招标公告。</w:t>
            </w:r>
          </w:p>
          <w:p w14:paraId="115DD8D6">
            <w:pPr>
              <w:shd w:val="clear"/>
              <w:spacing w:line="360" w:lineRule="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招标人不受理投标人逾期提出的异议（质疑）。招标人将在收到异议之日起 3 日内作出答复</w:t>
            </w:r>
            <w:r>
              <w:rPr>
                <w:rFonts w:hint="eastAsia" w:ascii="宋体" w:hAnsi="宋体" w:cs="宋体"/>
                <w:color w:val="auto"/>
                <w:sz w:val="22"/>
                <w:szCs w:val="22"/>
                <w:highlight w:val="none"/>
                <w:lang w:eastAsia="zh-CN"/>
              </w:rPr>
              <w:t>。作出答复前，将暂停招标投标活动。</w:t>
            </w:r>
          </w:p>
          <w:p w14:paraId="22AA8E21">
            <w:pPr>
              <w:shd w:val="clear"/>
              <w:spacing w:line="360" w:lineRule="auto"/>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异议</w:t>
            </w:r>
            <w:r>
              <w:rPr>
                <w:rFonts w:hint="eastAsia" w:ascii="宋体" w:hAnsi="宋体" w:cs="宋体"/>
                <w:color w:val="auto"/>
                <w:sz w:val="22"/>
                <w:szCs w:val="22"/>
                <w:highlight w:val="none"/>
              </w:rPr>
              <w:t>答复：对招标文件的异议答复的内容可能影响投标文件编制的</w:t>
            </w:r>
            <w:r>
              <w:rPr>
                <w:rFonts w:hint="eastAsia" w:ascii="宋体" w:hAnsi="宋体" w:cs="宋体"/>
                <w:color w:val="auto"/>
                <w:sz w:val="22"/>
                <w:szCs w:val="22"/>
                <w:highlight w:val="none"/>
                <w:lang w:eastAsia="zh-CN"/>
              </w:rPr>
              <w:t>，</w:t>
            </w:r>
            <w:r>
              <w:rPr>
                <w:rFonts w:hint="eastAsia" w:ascii="宋体" w:hAnsi="宋体" w:cs="宋体"/>
                <w:color w:val="auto"/>
                <w:kern w:val="0"/>
                <w:sz w:val="22"/>
                <w:szCs w:val="22"/>
                <w:highlight w:val="none"/>
              </w:rPr>
              <w:t>招标人或者采购代理机构</w:t>
            </w:r>
            <w:r>
              <w:rPr>
                <w:rFonts w:hint="eastAsia" w:ascii="宋体" w:hAnsi="宋体" w:cs="宋体"/>
                <w:color w:val="auto"/>
                <w:sz w:val="22"/>
                <w:szCs w:val="22"/>
                <w:highlight w:val="none"/>
                <w:lang w:val="en-US" w:eastAsia="zh-CN"/>
              </w:rPr>
              <w:t>将</w:t>
            </w:r>
            <w:r>
              <w:rPr>
                <w:rFonts w:hint="eastAsia" w:ascii="宋体" w:hAnsi="宋体" w:cs="宋体"/>
                <w:color w:val="auto"/>
                <w:sz w:val="22"/>
                <w:szCs w:val="22"/>
                <w:highlight w:val="none"/>
              </w:rPr>
              <w:t>在投标截止时间</w:t>
            </w:r>
            <w:r>
              <w:rPr>
                <w:rFonts w:hint="eastAsia" w:ascii="宋体" w:hAnsi="宋体" w:cs="宋体"/>
                <w:color w:val="auto"/>
                <w:kern w:val="0"/>
                <w:sz w:val="22"/>
                <w:szCs w:val="22"/>
                <w:highlight w:val="none"/>
              </w:rPr>
              <w:t>至少</w:t>
            </w:r>
            <w:r>
              <w:rPr>
                <w:rFonts w:hint="eastAsia" w:ascii="宋体" w:hAnsi="宋体" w:cs="宋体"/>
                <w:color w:val="auto"/>
                <w:sz w:val="22"/>
                <w:szCs w:val="22"/>
                <w:highlight w:val="none"/>
              </w:rPr>
              <w:t>15天前</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在</w:t>
            </w:r>
            <w:r>
              <w:rPr>
                <w:rFonts w:hint="eastAsia" w:ascii="宋体" w:hAnsi="宋体" w:cs="宋体"/>
                <w:color w:val="auto"/>
                <w:sz w:val="22"/>
                <w:szCs w:val="22"/>
                <w:highlight w:val="none"/>
                <w:lang w:eastAsia="zh-CN"/>
              </w:rPr>
              <w:t>阜阳市颍科创新投资有限公司</w:t>
            </w:r>
            <w:r>
              <w:rPr>
                <w:rFonts w:hint="eastAsia" w:ascii="宋体" w:hAnsi="宋体" w:cs="宋体"/>
                <w:color w:val="auto"/>
                <w:sz w:val="22"/>
                <w:szCs w:val="22"/>
                <w:highlight w:val="none"/>
              </w:rPr>
              <w:t>网站</w:t>
            </w:r>
            <w:r>
              <w:rPr>
                <w:rFonts w:hint="eastAsia" w:ascii="宋体" w:hAnsi="宋体" w:cs="宋体"/>
                <w:color w:val="auto"/>
                <w:sz w:val="22"/>
                <w:szCs w:val="22"/>
                <w:highlight w:val="none"/>
                <w:lang w:eastAsia="zh-CN"/>
              </w:rPr>
              <w:t>http://www.yingkecapital.cn/</w:t>
            </w:r>
            <w:r>
              <w:rPr>
                <w:rFonts w:hint="eastAsia" w:ascii="宋体" w:hAnsi="宋体" w:cs="宋体"/>
                <w:color w:val="auto"/>
                <w:sz w:val="22"/>
                <w:szCs w:val="22"/>
                <w:highlight w:val="none"/>
              </w:rPr>
              <w:t>网站发布，招标人不再另行通知。</w:t>
            </w:r>
            <w:r>
              <w:rPr>
                <w:rFonts w:hint="eastAsia" w:ascii="宋体" w:hAnsi="宋体" w:cs="宋体"/>
                <w:color w:val="auto"/>
                <w:kern w:val="0"/>
                <w:sz w:val="22"/>
                <w:szCs w:val="22"/>
                <w:highlight w:val="none"/>
              </w:rPr>
              <w:t>不足15日的，顺延提交投标文件的截止时间。</w:t>
            </w:r>
            <w:r>
              <w:rPr>
                <w:rFonts w:hint="eastAsia" w:ascii="宋体" w:hAnsi="宋体" w:cs="宋体"/>
                <w:color w:val="auto"/>
                <w:sz w:val="22"/>
                <w:szCs w:val="22"/>
                <w:highlight w:val="none"/>
              </w:rPr>
              <w:t>该答复内容为招标文件的组成部分，对投标人具有同样约束力效力。投标人应主动上网查询。招标人不承担投标人未及时关注相关信息引发的相关责任。</w:t>
            </w:r>
          </w:p>
        </w:tc>
      </w:tr>
      <w:tr w14:paraId="406C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12E5279">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2.3</w:t>
            </w:r>
          </w:p>
        </w:tc>
        <w:tc>
          <w:tcPr>
            <w:tcW w:w="2284" w:type="dxa"/>
            <w:vAlign w:val="center"/>
          </w:tcPr>
          <w:p w14:paraId="0039BD69">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招标文件的澄清及修改</w:t>
            </w:r>
          </w:p>
        </w:tc>
        <w:tc>
          <w:tcPr>
            <w:tcW w:w="6780" w:type="dxa"/>
            <w:vAlign w:val="center"/>
          </w:tcPr>
          <w:p w14:paraId="079544A1">
            <w:pPr>
              <w:shd w:val="clear"/>
              <w:spacing w:after="120" w:line="360" w:lineRule="auto"/>
              <w:rPr>
                <w:rFonts w:ascii="宋体" w:hAnsi="宋体" w:cs="宋体"/>
                <w:color w:val="auto"/>
                <w:sz w:val="22"/>
                <w:szCs w:val="22"/>
                <w:highlight w:val="none"/>
              </w:rPr>
            </w:pPr>
            <w:r>
              <w:rPr>
                <w:rFonts w:hint="eastAsia" w:ascii="宋体" w:hAnsi="宋体" w:cs="宋体"/>
                <w:color w:val="auto"/>
                <w:sz w:val="22"/>
                <w:szCs w:val="22"/>
                <w:highlight w:val="none"/>
              </w:rPr>
              <w:t>澄清或修改：在</w:t>
            </w:r>
            <w:r>
              <w:rPr>
                <w:rFonts w:hint="eastAsia" w:ascii="宋体" w:hAnsi="宋体" w:cs="宋体"/>
                <w:color w:val="auto"/>
                <w:kern w:val="0"/>
                <w:sz w:val="22"/>
                <w:szCs w:val="22"/>
                <w:highlight w:val="none"/>
                <w:lang w:eastAsia="zh-CN"/>
              </w:rPr>
              <w:t>阜阳市颍科创新投资有限公司</w:t>
            </w:r>
            <w:r>
              <w:rPr>
                <w:rFonts w:hint="eastAsia" w:ascii="宋体" w:hAnsi="宋体" w:cs="宋体"/>
                <w:color w:val="auto"/>
                <w:kern w:val="0"/>
                <w:sz w:val="22"/>
                <w:szCs w:val="22"/>
                <w:highlight w:val="none"/>
              </w:rPr>
              <w:t>网站</w:t>
            </w:r>
            <w:r>
              <w:rPr>
                <w:rFonts w:hint="eastAsia" w:ascii="宋体" w:hAnsi="宋体" w:cs="宋体"/>
                <w:color w:val="auto"/>
                <w:sz w:val="22"/>
                <w:szCs w:val="22"/>
                <w:highlight w:val="none"/>
                <w:lang w:eastAsia="zh-CN"/>
              </w:rPr>
              <w:t>http://www.yingkecapital.cn/</w:t>
            </w:r>
            <w:r>
              <w:rPr>
                <w:rFonts w:hint="eastAsia" w:ascii="宋体" w:hAnsi="宋体" w:cs="宋体"/>
                <w:color w:val="auto"/>
                <w:sz w:val="22"/>
                <w:szCs w:val="22"/>
                <w:highlight w:val="none"/>
              </w:rPr>
              <w:t>网站发布，招标人不再另行通知。该澄清或修改内容为招标文件的组成部分，对投标人具有同样约束力效力。投标人应主动上网查询。招标人不承担投标人未及时关注相关信息引发的相关责任。</w:t>
            </w:r>
          </w:p>
          <w:p w14:paraId="743D001F">
            <w:pPr>
              <w:shd w:val="clear"/>
              <w:spacing w:after="120" w:line="360" w:lineRule="auto"/>
              <w:rPr>
                <w:rFonts w:ascii="宋体" w:hAnsi="宋体" w:cs="宋体"/>
                <w:color w:val="auto"/>
                <w:sz w:val="22"/>
                <w:szCs w:val="22"/>
                <w:highlight w:val="none"/>
              </w:rPr>
            </w:pPr>
            <w:r>
              <w:rPr>
                <w:rFonts w:hint="eastAsia" w:ascii="宋体" w:hAnsi="宋体" w:cs="宋体"/>
                <w:color w:val="auto"/>
                <w:kern w:val="0"/>
                <w:sz w:val="22"/>
                <w:szCs w:val="22"/>
                <w:highlight w:val="none"/>
              </w:rPr>
              <w:t>澄清或者修改的内容可能影响投标文件编制的，招标人或者采购代理机构将在投标截止时间至少15日前，</w:t>
            </w:r>
            <w:r>
              <w:rPr>
                <w:rFonts w:hint="eastAsia" w:ascii="宋体" w:hAnsi="宋体" w:cs="宋体"/>
                <w:color w:val="auto"/>
                <w:sz w:val="22"/>
                <w:szCs w:val="22"/>
                <w:highlight w:val="none"/>
              </w:rPr>
              <w:t>在</w:t>
            </w:r>
            <w:r>
              <w:rPr>
                <w:rFonts w:hint="eastAsia" w:ascii="宋体" w:hAnsi="宋体" w:cs="宋体"/>
                <w:color w:val="auto"/>
                <w:kern w:val="0"/>
                <w:sz w:val="22"/>
                <w:szCs w:val="22"/>
                <w:highlight w:val="none"/>
                <w:lang w:eastAsia="zh-CN"/>
              </w:rPr>
              <w:t>阜阳市颍科创新投资有限公司</w:t>
            </w:r>
            <w:r>
              <w:rPr>
                <w:rFonts w:hint="eastAsia" w:ascii="宋体" w:hAnsi="宋体" w:cs="宋体"/>
                <w:color w:val="auto"/>
                <w:kern w:val="0"/>
                <w:sz w:val="22"/>
                <w:szCs w:val="22"/>
                <w:highlight w:val="none"/>
              </w:rPr>
              <w:t>网站</w:t>
            </w:r>
            <w:r>
              <w:rPr>
                <w:rFonts w:hint="eastAsia" w:ascii="宋体" w:hAnsi="宋体" w:cs="宋体"/>
                <w:color w:val="auto"/>
                <w:kern w:val="0"/>
                <w:sz w:val="22"/>
                <w:szCs w:val="22"/>
                <w:highlight w:val="none"/>
                <w:lang w:eastAsia="zh-CN"/>
              </w:rPr>
              <w:t>http://www.yingkecapital.cn/</w:t>
            </w:r>
            <w:r>
              <w:rPr>
                <w:rFonts w:hint="eastAsia" w:ascii="宋体" w:hAnsi="宋体" w:cs="宋体"/>
                <w:color w:val="auto"/>
                <w:kern w:val="0"/>
                <w:sz w:val="22"/>
                <w:szCs w:val="22"/>
                <w:highlight w:val="none"/>
              </w:rPr>
              <w:t>网站</w:t>
            </w:r>
            <w:r>
              <w:rPr>
                <w:rFonts w:hint="eastAsia" w:ascii="宋体" w:hAnsi="宋体" w:cs="宋体"/>
                <w:color w:val="auto"/>
                <w:sz w:val="22"/>
                <w:szCs w:val="22"/>
                <w:highlight w:val="none"/>
              </w:rPr>
              <w:t>发布</w:t>
            </w:r>
            <w:r>
              <w:rPr>
                <w:rFonts w:hint="eastAsia" w:ascii="宋体" w:hAnsi="宋体" w:cs="宋体"/>
                <w:color w:val="auto"/>
                <w:sz w:val="22"/>
                <w:szCs w:val="22"/>
                <w:highlight w:val="none"/>
                <w:lang w:eastAsia="zh-CN"/>
              </w:rPr>
              <w:t>，</w:t>
            </w:r>
            <w:r>
              <w:rPr>
                <w:rFonts w:hint="eastAsia" w:ascii="宋体" w:hAnsi="宋体" w:cs="宋体"/>
                <w:color w:val="auto"/>
                <w:kern w:val="0"/>
                <w:sz w:val="22"/>
                <w:szCs w:val="22"/>
                <w:highlight w:val="none"/>
              </w:rPr>
              <w:t>招标人不再另行通知。不足15日的，顺延提交投标文件的截止时间。</w:t>
            </w:r>
          </w:p>
          <w:p w14:paraId="11C21EFD">
            <w:pPr>
              <w:shd w:val="clear"/>
              <w:spacing w:after="120" w:line="360" w:lineRule="auto"/>
              <w:rPr>
                <w:rFonts w:ascii="宋体" w:hAnsi="宋体" w:cs="宋体"/>
                <w:color w:val="auto"/>
                <w:sz w:val="22"/>
                <w:szCs w:val="22"/>
                <w:highlight w:val="none"/>
              </w:rPr>
            </w:pPr>
            <w:r>
              <w:rPr>
                <w:rFonts w:hint="eastAsia" w:ascii="宋体" w:hAnsi="宋体" w:cs="宋体"/>
                <w:color w:val="auto"/>
                <w:kern w:val="0"/>
                <w:sz w:val="22"/>
                <w:szCs w:val="22"/>
                <w:highlight w:val="none"/>
              </w:rPr>
              <w:t>在投标截止时间前，招标人可以视采购具体情况，延长投标截止时间和开标时间，并在招标文件要求提交投标文件的截止时间三日前，在网站上发布变更公告。在上述情况下，招标人和投标人在投标截止期方面的全部权力、责任和义务，将适用于延长后新的投标截止期。</w:t>
            </w:r>
          </w:p>
        </w:tc>
      </w:tr>
      <w:tr w14:paraId="62BEE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6679550">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3.1</w:t>
            </w:r>
          </w:p>
        </w:tc>
        <w:tc>
          <w:tcPr>
            <w:tcW w:w="2284" w:type="dxa"/>
            <w:vAlign w:val="center"/>
          </w:tcPr>
          <w:p w14:paraId="48DA7A31">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投标有效期</w:t>
            </w:r>
          </w:p>
        </w:tc>
        <w:tc>
          <w:tcPr>
            <w:tcW w:w="6780" w:type="dxa"/>
            <w:vAlign w:val="center"/>
          </w:tcPr>
          <w:p w14:paraId="56CB0FC2">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投标截止时间之日起120 日历天</w:t>
            </w:r>
          </w:p>
        </w:tc>
      </w:tr>
      <w:tr w14:paraId="6CA7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93" w:type="dxa"/>
            <w:vAlign w:val="center"/>
          </w:tcPr>
          <w:p w14:paraId="73D7A715">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3.2</w:t>
            </w:r>
          </w:p>
        </w:tc>
        <w:tc>
          <w:tcPr>
            <w:tcW w:w="2284" w:type="dxa"/>
            <w:vAlign w:val="center"/>
          </w:tcPr>
          <w:p w14:paraId="5D1A1E99">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投标保证金</w:t>
            </w:r>
          </w:p>
        </w:tc>
        <w:tc>
          <w:tcPr>
            <w:tcW w:w="6780" w:type="dxa"/>
            <w:vAlign w:val="center"/>
          </w:tcPr>
          <w:p w14:paraId="755D6FD2">
            <w:pPr>
              <w:shd w:val="clear"/>
              <w:spacing w:after="120" w:line="360" w:lineRule="auto"/>
              <w:rPr>
                <w:rFonts w:ascii="宋体" w:hAnsi="宋体" w:cs="宋体"/>
                <w:b/>
                <w:color w:val="auto"/>
                <w:sz w:val="22"/>
                <w:szCs w:val="22"/>
                <w:highlight w:val="none"/>
              </w:rPr>
            </w:pPr>
            <w:r>
              <w:rPr>
                <w:rFonts w:hint="eastAsia" w:ascii="宋体" w:hAnsi="宋体" w:cs="宋体"/>
                <w:color w:val="auto"/>
                <w:sz w:val="22"/>
                <w:szCs w:val="22"/>
                <w:highlight w:val="none"/>
              </w:rPr>
              <w:t>免收</w:t>
            </w:r>
          </w:p>
        </w:tc>
      </w:tr>
      <w:tr w14:paraId="0477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77360CF">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3.3</w:t>
            </w:r>
          </w:p>
        </w:tc>
        <w:tc>
          <w:tcPr>
            <w:tcW w:w="2284" w:type="dxa"/>
            <w:vAlign w:val="center"/>
          </w:tcPr>
          <w:p w14:paraId="2E5BE851">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是否允许递交备选投标方案</w:t>
            </w:r>
          </w:p>
        </w:tc>
        <w:tc>
          <w:tcPr>
            <w:tcW w:w="6780" w:type="dxa"/>
            <w:vAlign w:val="center"/>
          </w:tcPr>
          <w:p w14:paraId="57B04B6E">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不允许</w:t>
            </w:r>
          </w:p>
        </w:tc>
      </w:tr>
      <w:tr w14:paraId="4A57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93" w:type="dxa"/>
            <w:vAlign w:val="center"/>
          </w:tcPr>
          <w:p w14:paraId="363A0105">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3.4</w:t>
            </w:r>
          </w:p>
        </w:tc>
        <w:tc>
          <w:tcPr>
            <w:tcW w:w="2284" w:type="dxa"/>
            <w:vAlign w:val="center"/>
          </w:tcPr>
          <w:p w14:paraId="1A5B04D8">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签字或盖章要求</w:t>
            </w:r>
          </w:p>
        </w:tc>
        <w:tc>
          <w:tcPr>
            <w:tcW w:w="6780" w:type="dxa"/>
            <w:vAlign w:val="center"/>
          </w:tcPr>
          <w:p w14:paraId="7DB8978E">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符合第六章投标文件格式要求</w:t>
            </w:r>
          </w:p>
        </w:tc>
      </w:tr>
      <w:tr w14:paraId="43EC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0828A87">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3.5</w:t>
            </w:r>
          </w:p>
        </w:tc>
        <w:tc>
          <w:tcPr>
            <w:tcW w:w="2284" w:type="dxa"/>
            <w:vAlign w:val="center"/>
          </w:tcPr>
          <w:p w14:paraId="66B26A22">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投标文件份数</w:t>
            </w:r>
          </w:p>
        </w:tc>
        <w:tc>
          <w:tcPr>
            <w:tcW w:w="6780" w:type="dxa"/>
            <w:vAlign w:val="center"/>
          </w:tcPr>
          <w:p w14:paraId="3C0B3314">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电子版1份</w:t>
            </w:r>
          </w:p>
        </w:tc>
      </w:tr>
      <w:tr w14:paraId="538F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3EE5562E">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4.1</w:t>
            </w:r>
          </w:p>
        </w:tc>
        <w:tc>
          <w:tcPr>
            <w:tcW w:w="2284" w:type="dxa"/>
            <w:vAlign w:val="center"/>
          </w:tcPr>
          <w:p w14:paraId="54DC8D8F">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电子版文件备注内容</w:t>
            </w:r>
          </w:p>
        </w:tc>
        <w:tc>
          <w:tcPr>
            <w:tcW w:w="6780" w:type="dxa"/>
            <w:vAlign w:val="center"/>
          </w:tcPr>
          <w:p w14:paraId="0C5DEC18">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14:paraId="569B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3FDAA3DF">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4.2.1</w:t>
            </w:r>
          </w:p>
        </w:tc>
        <w:tc>
          <w:tcPr>
            <w:tcW w:w="2284" w:type="dxa"/>
            <w:vAlign w:val="center"/>
          </w:tcPr>
          <w:p w14:paraId="1639FB7A">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投标文件递交、截止时间</w:t>
            </w:r>
          </w:p>
        </w:tc>
        <w:tc>
          <w:tcPr>
            <w:tcW w:w="6780" w:type="dxa"/>
            <w:vAlign w:val="center"/>
          </w:tcPr>
          <w:p w14:paraId="695E239D">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14:paraId="2E89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dxa"/>
            <w:vAlign w:val="center"/>
          </w:tcPr>
          <w:p w14:paraId="5D89A243">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4.2.2</w:t>
            </w:r>
          </w:p>
        </w:tc>
        <w:tc>
          <w:tcPr>
            <w:tcW w:w="2284" w:type="dxa"/>
            <w:vAlign w:val="center"/>
          </w:tcPr>
          <w:p w14:paraId="31417772">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递交投标文件地点</w:t>
            </w:r>
          </w:p>
        </w:tc>
        <w:tc>
          <w:tcPr>
            <w:tcW w:w="6780" w:type="dxa"/>
            <w:vAlign w:val="center"/>
          </w:tcPr>
          <w:p w14:paraId="6FCCD148">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详见招标公告</w:t>
            </w:r>
          </w:p>
        </w:tc>
      </w:tr>
      <w:tr w14:paraId="7B6C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4371EDE3">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4.2.3</w:t>
            </w:r>
          </w:p>
        </w:tc>
        <w:tc>
          <w:tcPr>
            <w:tcW w:w="2284" w:type="dxa"/>
            <w:vAlign w:val="center"/>
          </w:tcPr>
          <w:p w14:paraId="5E37FFE4">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是否退还投标文件</w:t>
            </w:r>
          </w:p>
        </w:tc>
        <w:tc>
          <w:tcPr>
            <w:tcW w:w="6780" w:type="dxa"/>
            <w:vAlign w:val="center"/>
          </w:tcPr>
          <w:p w14:paraId="18C09778">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否</w:t>
            </w:r>
          </w:p>
        </w:tc>
      </w:tr>
      <w:tr w14:paraId="35B0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93" w:type="dxa"/>
            <w:vAlign w:val="center"/>
          </w:tcPr>
          <w:p w14:paraId="669FEBC8">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5.1</w:t>
            </w:r>
          </w:p>
        </w:tc>
        <w:tc>
          <w:tcPr>
            <w:tcW w:w="2284" w:type="dxa"/>
            <w:vAlign w:val="center"/>
          </w:tcPr>
          <w:p w14:paraId="446AA78B">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开标时间和地点</w:t>
            </w:r>
          </w:p>
        </w:tc>
        <w:tc>
          <w:tcPr>
            <w:tcW w:w="6780" w:type="dxa"/>
            <w:vAlign w:val="center"/>
          </w:tcPr>
          <w:p w14:paraId="74D1A186">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开标时间：同投标截止时间</w:t>
            </w:r>
          </w:p>
          <w:p w14:paraId="347A808E">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开标地点：同投标文件递交地点</w:t>
            </w:r>
          </w:p>
        </w:tc>
      </w:tr>
      <w:tr w14:paraId="68680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76683E16">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6.1</w:t>
            </w:r>
          </w:p>
        </w:tc>
        <w:tc>
          <w:tcPr>
            <w:tcW w:w="2284" w:type="dxa"/>
            <w:vAlign w:val="center"/>
          </w:tcPr>
          <w:p w14:paraId="103D0CE5">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评标委员会的组建</w:t>
            </w:r>
          </w:p>
        </w:tc>
        <w:tc>
          <w:tcPr>
            <w:tcW w:w="6780" w:type="dxa"/>
            <w:vAlign w:val="center"/>
          </w:tcPr>
          <w:p w14:paraId="737383EF">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评标委员会构成：5 人及以上单数</w:t>
            </w:r>
          </w:p>
        </w:tc>
      </w:tr>
      <w:tr w14:paraId="17AB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1FFF05ED">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7.1</w:t>
            </w:r>
          </w:p>
        </w:tc>
        <w:tc>
          <w:tcPr>
            <w:tcW w:w="2284" w:type="dxa"/>
            <w:vAlign w:val="center"/>
          </w:tcPr>
          <w:p w14:paraId="452894CE">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是否授权评标委员会确定中标人</w:t>
            </w:r>
          </w:p>
        </w:tc>
        <w:tc>
          <w:tcPr>
            <w:tcW w:w="6780" w:type="dxa"/>
            <w:vAlign w:val="center"/>
          </w:tcPr>
          <w:p w14:paraId="200C5087">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shd w:val="clear" w:color="auto" w:fill="000000"/>
              </w:rPr>
              <w:t>□</w:t>
            </w:r>
            <w:r>
              <w:rPr>
                <w:rFonts w:hint="eastAsia" w:ascii="宋体" w:hAnsi="宋体" w:cs="宋体"/>
                <w:color w:val="auto"/>
                <w:sz w:val="22"/>
                <w:szCs w:val="22"/>
                <w:highlight w:val="none"/>
              </w:rPr>
              <w:t>否，推荐的中标候选人数：</w:t>
            </w:r>
            <w:r>
              <w:rPr>
                <w:rFonts w:hint="default" w:ascii="宋体" w:hAnsi="宋体" w:cs="宋体"/>
                <w:b/>
                <w:bCs/>
                <w:color w:val="auto"/>
                <w:sz w:val="22"/>
                <w:szCs w:val="22"/>
                <w:highlight w:val="none"/>
                <w:lang w:val="en-US" w:eastAsia="zh-CN"/>
              </w:rPr>
              <w:t>2</w:t>
            </w:r>
            <w:r>
              <w:rPr>
                <w:rFonts w:hint="eastAsia" w:ascii="宋体" w:hAnsi="宋体" w:cs="宋体"/>
                <w:b/>
                <w:bCs/>
                <w:color w:val="auto"/>
                <w:sz w:val="22"/>
                <w:szCs w:val="22"/>
                <w:highlight w:val="none"/>
                <w:lang w:val="en-US" w:eastAsia="zh-CN"/>
              </w:rPr>
              <w:t>-5</w:t>
            </w:r>
            <w:r>
              <w:rPr>
                <w:rFonts w:hint="eastAsia" w:ascii="宋体" w:hAnsi="宋体" w:cs="宋体"/>
                <w:b/>
                <w:bCs/>
                <w:color w:val="auto"/>
                <w:sz w:val="22"/>
                <w:szCs w:val="22"/>
                <w:highlight w:val="none"/>
              </w:rPr>
              <w:t xml:space="preserve">名；  </w:t>
            </w:r>
          </w:p>
        </w:tc>
      </w:tr>
      <w:tr w14:paraId="4D16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792FF9C2">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7.2</w:t>
            </w:r>
          </w:p>
        </w:tc>
        <w:tc>
          <w:tcPr>
            <w:tcW w:w="2284" w:type="dxa"/>
            <w:vAlign w:val="center"/>
          </w:tcPr>
          <w:p w14:paraId="5E6C362A">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中标候选人公示媒介</w:t>
            </w:r>
          </w:p>
        </w:tc>
        <w:tc>
          <w:tcPr>
            <w:tcW w:w="6780" w:type="dxa"/>
            <w:vAlign w:val="center"/>
          </w:tcPr>
          <w:p w14:paraId="60C4A8B1">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发布招标公告的网站</w:t>
            </w:r>
          </w:p>
        </w:tc>
      </w:tr>
      <w:tr w14:paraId="1F888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93" w:type="dxa"/>
            <w:vAlign w:val="center"/>
          </w:tcPr>
          <w:p w14:paraId="0666DB9B">
            <w:pPr>
              <w:shd w:val="clear"/>
              <w:spacing w:line="360" w:lineRule="auto"/>
              <w:jc w:val="center"/>
              <w:rPr>
                <w:rFonts w:ascii="宋体" w:hAnsi="宋体" w:cs="宋体"/>
                <w:color w:val="auto"/>
                <w:sz w:val="22"/>
                <w:szCs w:val="22"/>
                <w:highlight w:val="none"/>
              </w:rPr>
            </w:pPr>
            <w:r>
              <w:rPr>
                <w:rFonts w:hint="eastAsia" w:ascii="宋体" w:hAnsi="宋体" w:cs="宋体"/>
                <w:color w:val="auto"/>
                <w:sz w:val="22"/>
                <w:szCs w:val="22"/>
                <w:highlight w:val="none"/>
              </w:rPr>
              <w:t>7.3</w:t>
            </w:r>
          </w:p>
        </w:tc>
        <w:tc>
          <w:tcPr>
            <w:tcW w:w="2284" w:type="dxa"/>
            <w:vAlign w:val="center"/>
          </w:tcPr>
          <w:p w14:paraId="1C6C3C6B">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履约担保</w:t>
            </w:r>
          </w:p>
        </w:tc>
        <w:tc>
          <w:tcPr>
            <w:tcW w:w="6780" w:type="dxa"/>
            <w:vAlign w:val="center"/>
          </w:tcPr>
          <w:p w14:paraId="490D7290">
            <w:pPr>
              <w:shd w:val="clear"/>
              <w:spacing w:line="360" w:lineRule="auto"/>
              <w:jc w:val="left"/>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eastAsia="zh-CN"/>
              </w:rPr>
              <w:t>无</w:t>
            </w:r>
          </w:p>
        </w:tc>
      </w:tr>
      <w:tr w14:paraId="0366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0057" w:type="dxa"/>
            <w:gridSpan w:val="3"/>
            <w:vAlign w:val="center"/>
          </w:tcPr>
          <w:p w14:paraId="05C4CD77">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color w:val="auto"/>
                <w:sz w:val="22"/>
                <w:szCs w:val="22"/>
                <w:highlight w:val="none"/>
              </w:rPr>
            </w:pPr>
            <w:r>
              <w:rPr>
                <w:rFonts w:hint="eastAsia" w:ascii="宋体" w:hAnsi="宋体" w:cs="宋体"/>
                <w:color w:val="auto"/>
                <w:sz w:val="22"/>
                <w:szCs w:val="22"/>
                <w:highlight w:val="none"/>
              </w:rPr>
              <w:t>8、最高投标限价：</w:t>
            </w:r>
          </w:p>
          <w:p w14:paraId="2A5CED1B">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8.1</w:t>
            </w:r>
            <w:r>
              <w:rPr>
                <w:rFonts w:hint="eastAsia" w:ascii="宋体" w:hAnsi="宋体" w:cs="宋体"/>
                <w:color w:val="auto"/>
                <w:sz w:val="22"/>
                <w:szCs w:val="22"/>
                <w:highlight w:val="none"/>
              </w:rPr>
              <w:t>为基金投资项目提供尽调服务的会计师事务所单个项目服务最高限价不超过</w:t>
            </w: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万元（包干价）。上述限价包含服务机构履行服务所需的差旅、住宿等一切费用，招标人不再另行支付任何费用。</w:t>
            </w:r>
          </w:p>
          <w:p w14:paraId="119EAD20">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8.2</w:t>
            </w:r>
            <w:r>
              <w:rPr>
                <w:rFonts w:hint="eastAsia" w:ascii="宋体" w:hAnsi="宋体" w:cs="宋体"/>
                <w:color w:val="auto"/>
                <w:sz w:val="22"/>
                <w:szCs w:val="22"/>
                <w:highlight w:val="none"/>
              </w:rPr>
              <w:t>其他事项需选用中介机构提供服务的，服务价格实行一事一议制。</w:t>
            </w:r>
          </w:p>
        </w:tc>
      </w:tr>
      <w:tr w14:paraId="479C7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0057" w:type="dxa"/>
            <w:gridSpan w:val="3"/>
            <w:vAlign w:val="center"/>
          </w:tcPr>
          <w:p w14:paraId="357F1F7F">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9、入库协议价格的确定：</w:t>
            </w:r>
          </w:p>
          <w:p w14:paraId="0B2EDF81">
            <w:pPr>
              <w:shd w:val="clear"/>
              <w:spacing w:line="360" w:lineRule="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入库无具体价格约定，单个项目通过单个项目委托协议确定</w:t>
            </w:r>
            <w:r>
              <w:rPr>
                <w:rFonts w:hint="eastAsia" w:ascii="宋体" w:hAnsi="宋体" w:cs="宋体"/>
                <w:color w:val="auto"/>
                <w:sz w:val="22"/>
                <w:szCs w:val="22"/>
                <w:highlight w:val="none"/>
                <w:lang w:eastAsia="zh-CN"/>
              </w:rPr>
              <w:t>。</w:t>
            </w:r>
          </w:p>
        </w:tc>
      </w:tr>
      <w:tr w14:paraId="11F1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0057" w:type="dxa"/>
            <w:gridSpan w:val="3"/>
            <w:vAlign w:val="center"/>
          </w:tcPr>
          <w:p w14:paraId="583BE3CF">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10、招标文件解释权</w:t>
            </w:r>
          </w:p>
        </w:tc>
      </w:tr>
      <w:tr w14:paraId="7CA5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trPr>
        <w:tc>
          <w:tcPr>
            <w:tcW w:w="10057" w:type="dxa"/>
            <w:gridSpan w:val="3"/>
            <w:vAlign w:val="center"/>
          </w:tcPr>
          <w:p w14:paraId="38D474B0">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构成本招标文件的各个组成文件应互为解释，互为说明；如有不明确或不一致，构成合同文件组成内容，以合同文件约定内容为准，且以专用合同条款约定的合同文件优先顺序解释；除招标文件中有特别规定外，仅适用于招标投标阶段的规定，按招标公告、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或其委托的代理机构负责解释。</w:t>
            </w:r>
          </w:p>
        </w:tc>
      </w:tr>
      <w:tr w14:paraId="295F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trPr>
        <w:tc>
          <w:tcPr>
            <w:tcW w:w="10057" w:type="dxa"/>
            <w:gridSpan w:val="3"/>
            <w:vAlign w:val="center"/>
          </w:tcPr>
          <w:p w14:paraId="67DE3EB2">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11.招标代理服务费：每家入库单位2000元；</w:t>
            </w:r>
          </w:p>
          <w:p w14:paraId="2195DC2C">
            <w:pPr>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收取方式：以上费用不单独列出，投标人自行考虑在投标报价中，中标人领取中标通知书前支付以上费用，必须从企业基本账户转入阜阳市同创投资咨询管理有限公司账户。</w:t>
            </w:r>
          </w:p>
          <w:p w14:paraId="53F5F9BF">
            <w:pPr>
              <w:shd w:val="clear"/>
              <w:spacing w:line="360" w:lineRule="auto"/>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收取方式：转账（转款时请备注：XXX项目采购代理费）</w:t>
            </w:r>
          </w:p>
          <w:p w14:paraId="5C4F319E">
            <w:pPr>
              <w:shd w:val="clear"/>
              <w:spacing w:line="360" w:lineRule="auto"/>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公司名称：阜阳市同创投资咨询管理有限公司</w:t>
            </w:r>
          </w:p>
          <w:p w14:paraId="1324DD6A">
            <w:pPr>
              <w:shd w:val="clear"/>
              <w:spacing w:line="360" w:lineRule="auto"/>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开户银行：阜阳颍东农村商业银行股份有限公司颍州路支行</w:t>
            </w:r>
          </w:p>
          <w:p w14:paraId="68AE5E15">
            <w:pPr>
              <w:shd w:val="clear"/>
              <w:spacing w:line="360" w:lineRule="auto"/>
              <w:jc w:val="left"/>
              <w:rPr>
                <w:rFonts w:ascii="宋体" w:hAnsi="宋体" w:cs="宋体"/>
                <w:color w:val="auto"/>
                <w:sz w:val="22"/>
                <w:szCs w:val="22"/>
                <w:highlight w:val="none"/>
              </w:rPr>
            </w:pPr>
            <w:r>
              <w:rPr>
                <w:rFonts w:hint="eastAsia" w:ascii="宋体" w:hAnsi="宋体" w:cs="宋体"/>
                <w:color w:val="auto"/>
                <w:sz w:val="22"/>
                <w:szCs w:val="22"/>
                <w:highlight w:val="none"/>
              </w:rPr>
              <w:t>账号：2000 0614 2558 1030 0000 122</w:t>
            </w:r>
          </w:p>
        </w:tc>
      </w:tr>
      <w:tr w14:paraId="15A8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0057" w:type="dxa"/>
            <w:gridSpan w:val="3"/>
            <w:vAlign w:val="center"/>
          </w:tcPr>
          <w:p w14:paraId="65B367F5">
            <w:pPr>
              <w:shd w:val="clear"/>
              <w:spacing w:line="360" w:lineRule="auto"/>
              <w:rPr>
                <w:rFonts w:ascii="宋体" w:hAnsi="宋体" w:cs="宋体"/>
                <w:color w:val="auto"/>
                <w:kern w:val="0"/>
                <w:sz w:val="22"/>
                <w:szCs w:val="22"/>
                <w:highlight w:val="none"/>
              </w:rPr>
            </w:pPr>
            <w:r>
              <w:rPr>
                <w:rFonts w:hint="eastAsia" w:ascii="宋体" w:hAnsi="宋体" w:cs="宋体"/>
                <w:color w:val="auto"/>
                <w:sz w:val="22"/>
                <w:szCs w:val="22"/>
                <w:highlight w:val="none"/>
              </w:rPr>
              <w:t>12、其他</w:t>
            </w:r>
          </w:p>
        </w:tc>
      </w:tr>
      <w:tr w14:paraId="3656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10057" w:type="dxa"/>
            <w:gridSpan w:val="3"/>
            <w:vAlign w:val="center"/>
          </w:tcPr>
          <w:p w14:paraId="2255C6E7">
            <w:pPr>
              <w:pStyle w:val="14"/>
              <w:shd w:val="clear"/>
              <w:spacing w:line="440" w:lineRule="exact"/>
              <w:ind w:left="0" w:leftChars="0" w:firstLine="0" w:firstLineChars="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12.1通过初步评审的</w:t>
            </w:r>
            <w:r>
              <w:rPr>
                <w:rFonts w:hint="eastAsia" w:ascii="宋体" w:hAnsi="宋体" w:cs="宋体"/>
                <w:color w:val="auto"/>
                <w:sz w:val="22"/>
                <w:szCs w:val="22"/>
                <w:highlight w:val="none"/>
              </w:rPr>
              <w:t>有效投标人家数</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3家时全部确定为服务单位</w:t>
            </w:r>
            <w:r>
              <w:rPr>
                <w:rFonts w:hint="eastAsia" w:ascii="宋体" w:hAnsi="宋体" w:cs="宋体"/>
                <w:color w:val="auto"/>
                <w:sz w:val="22"/>
                <w:szCs w:val="22"/>
                <w:highlight w:val="none"/>
                <w:lang w:eastAsia="zh-CN"/>
              </w:rPr>
              <w:t>。</w:t>
            </w:r>
          </w:p>
          <w:p w14:paraId="172B837E">
            <w:pPr>
              <w:pStyle w:val="14"/>
              <w:shd w:val="clear"/>
              <w:spacing w:line="440" w:lineRule="exact"/>
              <w:ind w:left="0" w:leftChars="0" w:firstLine="0" w:firstLineChars="0"/>
              <w:rPr>
                <w:rFonts w:hint="eastAsia" w:ascii="宋体" w:hAnsi="宋体" w:eastAsia="宋体" w:cs="宋体"/>
                <w:color w:val="auto"/>
                <w:kern w:val="0"/>
                <w:szCs w:val="21"/>
                <w:highlight w:val="none"/>
                <w:lang w:val="zh-CN" w:bidi="zh-CN"/>
              </w:rPr>
            </w:pPr>
            <w:r>
              <w:rPr>
                <w:rFonts w:hint="eastAsia" w:ascii="宋体" w:hAnsi="宋体" w:cs="宋体"/>
                <w:color w:val="auto"/>
                <w:sz w:val="22"/>
                <w:szCs w:val="22"/>
                <w:highlight w:val="none"/>
                <w:lang w:val="en-US" w:eastAsia="zh-CN"/>
              </w:rPr>
              <w:t>12.2</w:t>
            </w:r>
            <w:r>
              <w:rPr>
                <w:rFonts w:hint="eastAsia" w:ascii="宋体" w:hAnsi="宋体" w:cs="宋体"/>
                <w:color w:val="auto"/>
                <w:kern w:val="0"/>
                <w:szCs w:val="21"/>
                <w:highlight w:val="none"/>
                <w:lang w:val="en-US" w:bidi="zh-CN"/>
              </w:rPr>
              <w:t>中标人中标后</w:t>
            </w:r>
            <w:r>
              <w:rPr>
                <w:rFonts w:hint="eastAsia" w:ascii="宋体" w:hAnsi="宋体" w:eastAsia="宋体" w:cs="宋体"/>
                <w:color w:val="auto"/>
                <w:kern w:val="0"/>
                <w:szCs w:val="21"/>
                <w:highlight w:val="none"/>
                <w:lang w:val="zh-CN" w:bidi="zh-CN"/>
              </w:rPr>
              <w:t>需提供与投标时一致的</w:t>
            </w:r>
            <w:r>
              <w:rPr>
                <w:rFonts w:hint="eastAsia" w:ascii="宋体" w:hAnsi="宋体" w:cs="宋体"/>
                <w:color w:val="auto"/>
                <w:kern w:val="0"/>
                <w:szCs w:val="21"/>
                <w:highlight w:val="none"/>
                <w:lang w:val="en-US" w:bidi="zh-CN"/>
              </w:rPr>
              <w:t>投标</w:t>
            </w:r>
            <w:r>
              <w:rPr>
                <w:rFonts w:hint="eastAsia" w:ascii="宋体" w:hAnsi="宋体" w:eastAsia="宋体" w:cs="宋体"/>
                <w:color w:val="auto"/>
                <w:kern w:val="0"/>
                <w:szCs w:val="21"/>
                <w:highlight w:val="none"/>
                <w:lang w:val="zh-CN" w:bidi="zh-CN"/>
              </w:rPr>
              <w:t>文件四份和</w:t>
            </w:r>
            <w:r>
              <w:rPr>
                <w:rFonts w:hint="eastAsia" w:ascii="宋体" w:hAnsi="宋体" w:cs="宋体"/>
                <w:color w:val="auto"/>
                <w:kern w:val="0"/>
                <w:szCs w:val="21"/>
                <w:highlight w:val="none"/>
                <w:lang w:val="en-US" w:bidi="zh-CN"/>
              </w:rPr>
              <w:t>四</w:t>
            </w:r>
            <w:r>
              <w:rPr>
                <w:rFonts w:hint="eastAsia" w:ascii="宋体" w:hAnsi="宋体" w:eastAsia="宋体" w:cs="宋体"/>
                <w:color w:val="auto"/>
                <w:kern w:val="0"/>
                <w:szCs w:val="21"/>
                <w:highlight w:val="none"/>
                <w:lang w:val="zh-CN" w:bidi="zh-CN"/>
              </w:rPr>
              <w:t>份电子版投标文件（介质为U盘），办理档案资料使用。</w:t>
            </w:r>
          </w:p>
          <w:p w14:paraId="0A639AA7">
            <w:pPr>
              <w:pStyle w:val="14"/>
              <w:shd w:val="clear"/>
              <w:spacing w:line="440" w:lineRule="exact"/>
              <w:ind w:left="0" w:leftChars="0" w:firstLine="0" w:firstLineChars="0"/>
              <w:rPr>
                <w:rFonts w:hint="default" w:ascii="宋体" w:hAnsi="宋体" w:eastAsia="宋体" w:cs="宋体"/>
                <w:color w:val="auto"/>
                <w:kern w:val="0"/>
                <w:szCs w:val="21"/>
                <w:highlight w:val="none"/>
                <w:lang w:val="en-US" w:eastAsia="zh-CN" w:bidi="zh-CN"/>
              </w:rPr>
            </w:pPr>
            <w:r>
              <w:rPr>
                <w:rFonts w:hint="eastAsia" w:ascii="宋体" w:hAnsi="宋体" w:cs="宋体"/>
                <w:color w:val="auto"/>
                <w:kern w:val="0"/>
                <w:szCs w:val="21"/>
                <w:highlight w:val="none"/>
                <w:lang w:val="en-US" w:bidi="zh-CN"/>
              </w:rPr>
              <w:t>12.3招标人不保证入库单位年度及服务期限内最低服务项目数量。</w:t>
            </w:r>
          </w:p>
        </w:tc>
      </w:tr>
      <w:bookmarkEnd w:id="38"/>
      <w:bookmarkEnd w:id="39"/>
      <w:bookmarkEnd w:id="40"/>
      <w:bookmarkEnd w:id="41"/>
      <w:bookmarkEnd w:id="42"/>
      <w:bookmarkEnd w:id="43"/>
      <w:bookmarkEnd w:id="44"/>
    </w:tbl>
    <w:p w14:paraId="1A4B569A">
      <w:pPr>
        <w:shd w:val="clear"/>
        <w:spacing w:line="360" w:lineRule="auto"/>
        <w:jc w:val="both"/>
        <w:rPr>
          <w:rFonts w:hint="eastAsia" w:ascii="宋体" w:hAnsi="宋体" w:cs="宋体"/>
          <w:b/>
          <w:color w:val="auto"/>
          <w:sz w:val="22"/>
          <w:szCs w:val="22"/>
          <w:highlight w:val="none"/>
        </w:rPr>
      </w:pPr>
    </w:p>
    <w:p w14:paraId="70DAFF5A">
      <w:pPr>
        <w:shd w:val="clear"/>
        <w:spacing w:line="360" w:lineRule="auto"/>
        <w:jc w:val="center"/>
        <w:rPr>
          <w:rFonts w:hint="eastAsia" w:ascii="宋体" w:hAnsi="宋体" w:cs="宋体"/>
          <w:b/>
          <w:color w:val="auto"/>
          <w:sz w:val="22"/>
          <w:szCs w:val="22"/>
          <w:highlight w:val="none"/>
        </w:rPr>
      </w:pPr>
    </w:p>
    <w:p w14:paraId="026FD2FB">
      <w:pPr>
        <w:shd w:val="clear"/>
        <w:spacing w:line="360" w:lineRule="auto"/>
        <w:jc w:val="center"/>
        <w:rPr>
          <w:rFonts w:hint="eastAsia" w:ascii="宋体" w:hAnsi="宋体" w:cs="宋体"/>
          <w:b/>
          <w:color w:val="auto"/>
          <w:sz w:val="22"/>
          <w:szCs w:val="22"/>
          <w:highlight w:val="none"/>
        </w:rPr>
      </w:pPr>
    </w:p>
    <w:p w14:paraId="63C119C2">
      <w:pPr>
        <w:shd w:val="clear"/>
        <w:spacing w:line="360" w:lineRule="auto"/>
        <w:jc w:val="center"/>
        <w:rPr>
          <w:rFonts w:hint="eastAsia" w:ascii="宋体" w:hAnsi="宋体" w:cs="宋体"/>
          <w:b/>
          <w:color w:val="auto"/>
          <w:sz w:val="22"/>
          <w:szCs w:val="22"/>
          <w:highlight w:val="none"/>
        </w:rPr>
      </w:pPr>
    </w:p>
    <w:p w14:paraId="20FD0272">
      <w:pPr>
        <w:shd w:val="clear"/>
        <w:spacing w:line="360" w:lineRule="auto"/>
        <w:jc w:val="center"/>
        <w:rPr>
          <w:rFonts w:hint="eastAsia" w:ascii="宋体" w:hAnsi="宋体" w:cs="宋体"/>
          <w:b/>
          <w:color w:val="auto"/>
          <w:sz w:val="22"/>
          <w:szCs w:val="22"/>
          <w:highlight w:val="none"/>
        </w:rPr>
      </w:pPr>
    </w:p>
    <w:p w14:paraId="7AA30033">
      <w:pPr>
        <w:shd w:val="clear"/>
        <w:spacing w:line="360" w:lineRule="auto"/>
        <w:jc w:val="center"/>
        <w:rPr>
          <w:rFonts w:hint="eastAsia" w:ascii="宋体" w:hAnsi="宋体" w:cs="宋体"/>
          <w:b/>
          <w:color w:val="auto"/>
          <w:sz w:val="22"/>
          <w:szCs w:val="22"/>
          <w:highlight w:val="none"/>
        </w:rPr>
      </w:pPr>
    </w:p>
    <w:p w14:paraId="654F3629">
      <w:pPr>
        <w:shd w:val="clear"/>
        <w:spacing w:line="360" w:lineRule="auto"/>
        <w:jc w:val="center"/>
        <w:rPr>
          <w:rFonts w:hint="eastAsia" w:ascii="宋体" w:hAnsi="宋体" w:cs="宋体"/>
          <w:b/>
          <w:color w:val="auto"/>
          <w:sz w:val="22"/>
          <w:szCs w:val="22"/>
          <w:highlight w:val="none"/>
        </w:rPr>
      </w:pPr>
    </w:p>
    <w:p w14:paraId="3B886B93">
      <w:pPr>
        <w:shd w:val="clear"/>
        <w:spacing w:line="360" w:lineRule="auto"/>
        <w:jc w:val="center"/>
        <w:rPr>
          <w:rFonts w:hint="eastAsia" w:ascii="宋体" w:hAnsi="宋体" w:cs="宋体"/>
          <w:b/>
          <w:color w:val="auto"/>
          <w:sz w:val="22"/>
          <w:szCs w:val="22"/>
          <w:highlight w:val="none"/>
        </w:rPr>
      </w:pPr>
    </w:p>
    <w:p w14:paraId="361C14FF">
      <w:pPr>
        <w:shd w:val="clear"/>
        <w:spacing w:line="360" w:lineRule="auto"/>
        <w:jc w:val="center"/>
        <w:rPr>
          <w:rFonts w:hint="eastAsia" w:ascii="宋体" w:hAnsi="宋体" w:cs="宋体"/>
          <w:b/>
          <w:color w:val="auto"/>
          <w:sz w:val="22"/>
          <w:szCs w:val="22"/>
          <w:highlight w:val="none"/>
        </w:rPr>
      </w:pPr>
    </w:p>
    <w:p w14:paraId="7A594A31">
      <w:pPr>
        <w:shd w:val="clear"/>
        <w:spacing w:line="360" w:lineRule="auto"/>
        <w:jc w:val="center"/>
        <w:rPr>
          <w:rFonts w:hint="eastAsia" w:ascii="宋体" w:hAnsi="宋体" w:cs="宋体"/>
          <w:b/>
          <w:color w:val="auto"/>
          <w:sz w:val="22"/>
          <w:szCs w:val="22"/>
          <w:highlight w:val="none"/>
        </w:rPr>
      </w:pPr>
    </w:p>
    <w:p w14:paraId="0AD58206">
      <w:pPr>
        <w:shd w:val="clear"/>
        <w:spacing w:line="360" w:lineRule="auto"/>
        <w:jc w:val="center"/>
        <w:rPr>
          <w:rFonts w:hint="eastAsia" w:ascii="宋体" w:hAnsi="宋体" w:cs="宋体"/>
          <w:b/>
          <w:color w:val="auto"/>
          <w:sz w:val="22"/>
          <w:szCs w:val="22"/>
          <w:highlight w:val="none"/>
        </w:rPr>
      </w:pPr>
    </w:p>
    <w:p w14:paraId="577A22D4">
      <w:pPr>
        <w:shd w:val="clear"/>
        <w:spacing w:line="360" w:lineRule="auto"/>
        <w:jc w:val="center"/>
        <w:rPr>
          <w:rFonts w:hint="eastAsia" w:ascii="宋体" w:hAnsi="宋体" w:cs="宋体"/>
          <w:b/>
          <w:color w:val="auto"/>
          <w:sz w:val="22"/>
          <w:szCs w:val="22"/>
          <w:highlight w:val="none"/>
        </w:rPr>
      </w:pPr>
    </w:p>
    <w:p w14:paraId="4A60775E">
      <w:pPr>
        <w:shd w:val="clear"/>
        <w:spacing w:line="360" w:lineRule="auto"/>
        <w:jc w:val="center"/>
        <w:rPr>
          <w:rFonts w:hint="eastAsia" w:ascii="宋体" w:hAnsi="宋体" w:eastAsia="宋体" w:cs="宋体"/>
          <w:b/>
          <w:bCs/>
          <w:color w:val="auto"/>
          <w:sz w:val="22"/>
          <w:szCs w:val="22"/>
          <w:highlight w:val="none"/>
          <w:lang w:val="en-US" w:eastAsia="zh-CN"/>
        </w:rPr>
      </w:pPr>
      <w:r>
        <w:rPr>
          <w:rFonts w:hint="eastAsia" w:ascii="宋体" w:hAnsi="宋体" w:cs="宋体"/>
          <w:b/>
          <w:color w:val="auto"/>
          <w:sz w:val="22"/>
          <w:szCs w:val="22"/>
          <w:highlight w:val="none"/>
        </w:rPr>
        <w:t>投标人须知</w:t>
      </w:r>
      <w:r>
        <w:rPr>
          <w:rFonts w:hint="eastAsia" w:ascii="宋体" w:hAnsi="宋体" w:cs="宋体"/>
          <w:b/>
          <w:color w:val="auto"/>
          <w:sz w:val="22"/>
          <w:szCs w:val="22"/>
          <w:highlight w:val="none"/>
          <w:lang w:val="en-US" w:eastAsia="zh-CN"/>
        </w:rPr>
        <w:t>正文</w:t>
      </w:r>
    </w:p>
    <w:p w14:paraId="181EFB13">
      <w:pPr>
        <w:shd w:val="clear"/>
        <w:spacing w:line="360" w:lineRule="auto"/>
        <w:outlineLvl w:val="1"/>
        <w:rPr>
          <w:rFonts w:ascii="宋体" w:hAnsi="宋体" w:cs="宋体"/>
          <w:b/>
          <w:bCs/>
          <w:color w:val="auto"/>
          <w:sz w:val="22"/>
          <w:szCs w:val="22"/>
          <w:highlight w:val="none"/>
        </w:rPr>
      </w:pPr>
      <w:bookmarkStart w:id="45" w:name="_Toc493081565"/>
      <w:bookmarkStart w:id="46" w:name="_Toc487461252"/>
      <w:bookmarkStart w:id="47" w:name="_Toc1284"/>
      <w:bookmarkStart w:id="48" w:name="_Toc487641631"/>
      <w:bookmarkStart w:id="49" w:name="_Toc21045"/>
      <w:r>
        <w:rPr>
          <w:rFonts w:hint="eastAsia" w:ascii="宋体" w:hAnsi="宋体" w:cs="宋体"/>
          <w:b/>
          <w:bCs/>
          <w:color w:val="auto"/>
          <w:sz w:val="22"/>
          <w:szCs w:val="22"/>
          <w:highlight w:val="none"/>
        </w:rPr>
        <w:t>1. 总则</w:t>
      </w:r>
      <w:bookmarkEnd w:id="45"/>
      <w:bookmarkEnd w:id="46"/>
      <w:bookmarkEnd w:id="47"/>
      <w:bookmarkEnd w:id="48"/>
      <w:bookmarkEnd w:id="49"/>
    </w:p>
    <w:p w14:paraId="4CD6E78D">
      <w:pPr>
        <w:shd w:val="clear"/>
        <w:spacing w:line="360" w:lineRule="auto"/>
        <w:ind w:firstLine="440" w:firstLineChars="200"/>
        <w:outlineLvl w:val="2"/>
        <w:rPr>
          <w:rFonts w:ascii="宋体" w:hAnsi="宋体" w:cs="宋体"/>
          <w:b/>
          <w:bCs/>
          <w:color w:val="auto"/>
          <w:sz w:val="22"/>
          <w:szCs w:val="22"/>
          <w:highlight w:val="none"/>
        </w:rPr>
      </w:pPr>
      <w:bookmarkStart w:id="50" w:name="_Toc152045530"/>
      <w:bookmarkStart w:id="51" w:name="_Toc152042306"/>
      <w:bookmarkStart w:id="52" w:name="_Toc144974498"/>
      <w:bookmarkStart w:id="53" w:name="_Toc179632547"/>
      <w:bookmarkStart w:id="54" w:name="_Toc493081566"/>
      <w:bookmarkStart w:id="55" w:name="_Toc487461253"/>
      <w:r>
        <w:rPr>
          <w:rFonts w:hint="eastAsia" w:ascii="宋体" w:hAnsi="宋体" w:cs="宋体"/>
          <w:b/>
          <w:bCs/>
          <w:color w:val="auto"/>
          <w:sz w:val="22"/>
          <w:szCs w:val="22"/>
          <w:highlight w:val="none"/>
        </w:rPr>
        <w:t>1.1 项目概况</w:t>
      </w:r>
      <w:bookmarkEnd w:id="50"/>
      <w:bookmarkEnd w:id="51"/>
      <w:bookmarkEnd w:id="52"/>
      <w:bookmarkEnd w:id="53"/>
      <w:bookmarkEnd w:id="54"/>
      <w:bookmarkEnd w:id="55"/>
    </w:p>
    <w:p w14:paraId="7DB1656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1.1.1根据委托，现对本项目（非依法必招项目）进行招标。</w:t>
      </w:r>
    </w:p>
    <w:p w14:paraId="3A146644">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1.1.2 本招标项目招标人：见投标人须知前附表。</w:t>
      </w:r>
    </w:p>
    <w:p w14:paraId="3BED9B78">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1.1.3 本标段招标代理机构：见投标人须知前附表。</w:t>
      </w:r>
    </w:p>
    <w:p w14:paraId="0DA59B0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1.1.4 本招标项目名称：见投标人须知前附表。</w:t>
      </w:r>
    </w:p>
    <w:p w14:paraId="47FDAE86">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1.1.5 本标段服务地点：见投标人须知前附表。</w:t>
      </w:r>
    </w:p>
    <w:p w14:paraId="51900DE0">
      <w:pPr>
        <w:shd w:val="clear"/>
        <w:spacing w:line="360" w:lineRule="auto"/>
        <w:ind w:firstLine="440" w:firstLineChars="200"/>
        <w:outlineLvl w:val="2"/>
        <w:rPr>
          <w:rFonts w:ascii="宋体" w:hAnsi="宋体" w:cs="宋体"/>
          <w:b/>
          <w:bCs/>
          <w:color w:val="auto"/>
          <w:sz w:val="22"/>
          <w:szCs w:val="22"/>
          <w:highlight w:val="none"/>
        </w:rPr>
      </w:pPr>
      <w:bookmarkStart w:id="56" w:name="_Toc152045531"/>
      <w:bookmarkStart w:id="57" w:name="_Toc179632548"/>
      <w:bookmarkStart w:id="58" w:name="_Toc487461254"/>
      <w:bookmarkStart w:id="59" w:name="_Toc152042307"/>
      <w:bookmarkStart w:id="60" w:name="_Toc493081567"/>
      <w:bookmarkStart w:id="61" w:name="_Toc144974499"/>
      <w:r>
        <w:rPr>
          <w:rFonts w:hint="eastAsia" w:ascii="宋体" w:hAnsi="宋体" w:cs="宋体"/>
          <w:b/>
          <w:bCs/>
          <w:color w:val="auto"/>
          <w:sz w:val="22"/>
          <w:szCs w:val="22"/>
          <w:highlight w:val="none"/>
        </w:rPr>
        <w:t>1.2 资金来源和落实情况</w:t>
      </w:r>
      <w:bookmarkEnd w:id="56"/>
      <w:bookmarkEnd w:id="57"/>
      <w:bookmarkEnd w:id="58"/>
      <w:bookmarkEnd w:id="59"/>
      <w:bookmarkEnd w:id="60"/>
      <w:bookmarkEnd w:id="61"/>
    </w:p>
    <w:p w14:paraId="57EC2F42">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1.2.1 本招标项目的资金来源：见投标人须知前附表。</w:t>
      </w:r>
    </w:p>
    <w:p w14:paraId="6811C804">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1.2.2 本招标项目的出资比例：见投标人须知前附表。</w:t>
      </w:r>
    </w:p>
    <w:p w14:paraId="3D68F83E">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1.2.3 本招标项目的资金落实情况：见投标人须知前附表。</w:t>
      </w:r>
    </w:p>
    <w:p w14:paraId="251108C6">
      <w:pPr>
        <w:shd w:val="clear"/>
        <w:spacing w:line="360" w:lineRule="auto"/>
        <w:ind w:firstLine="440" w:firstLineChars="200"/>
        <w:outlineLvl w:val="2"/>
        <w:rPr>
          <w:rFonts w:ascii="宋体" w:hAnsi="宋体" w:cs="宋体"/>
          <w:bCs/>
          <w:color w:val="auto"/>
          <w:sz w:val="22"/>
          <w:szCs w:val="22"/>
          <w:highlight w:val="none"/>
        </w:rPr>
      </w:pPr>
      <w:bookmarkStart w:id="62" w:name="_Toc144974500"/>
      <w:bookmarkStart w:id="63" w:name="_Toc152042308"/>
      <w:bookmarkStart w:id="64" w:name="_Toc152045532"/>
      <w:bookmarkStart w:id="65" w:name="_Toc487461255"/>
      <w:bookmarkStart w:id="66" w:name="_Toc179632549"/>
      <w:bookmarkStart w:id="67" w:name="_Toc493081568"/>
      <w:r>
        <w:rPr>
          <w:rFonts w:hint="eastAsia" w:ascii="宋体" w:hAnsi="宋体" w:cs="宋体"/>
          <w:b/>
          <w:bCs/>
          <w:color w:val="auto"/>
          <w:sz w:val="22"/>
          <w:szCs w:val="22"/>
          <w:highlight w:val="none"/>
        </w:rPr>
        <w:t>1.3 招标范围、服务期限和</w:t>
      </w:r>
      <w:bookmarkEnd w:id="62"/>
      <w:bookmarkEnd w:id="63"/>
      <w:bookmarkEnd w:id="64"/>
      <w:bookmarkEnd w:id="65"/>
      <w:bookmarkEnd w:id="66"/>
      <w:r>
        <w:rPr>
          <w:rFonts w:hint="eastAsia" w:ascii="宋体" w:hAnsi="宋体" w:cs="宋体"/>
          <w:b/>
          <w:bCs/>
          <w:color w:val="auto"/>
          <w:sz w:val="22"/>
          <w:szCs w:val="22"/>
          <w:highlight w:val="none"/>
        </w:rPr>
        <w:t>质量标准</w:t>
      </w:r>
      <w:bookmarkEnd w:id="67"/>
    </w:p>
    <w:p w14:paraId="255A7396">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1.3.1 本次招标范围：见投标人须知前附表。</w:t>
      </w:r>
    </w:p>
    <w:p w14:paraId="7FBC024A">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1.3.2 本标段的服务期限：见投标人须知前附表。</w:t>
      </w:r>
    </w:p>
    <w:p w14:paraId="5F79C04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1.3.3 本项目的质量标准：见投标人须知前附表。</w:t>
      </w:r>
    </w:p>
    <w:p w14:paraId="450BB0F9">
      <w:pPr>
        <w:shd w:val="clear"/>
        <w:spacing w:line="360" w:lineRule="auto"/>
        <w:ind w:firstLine="440" w:firstLineChars="200"/>
        <w:outlineLvl w:val="2"/>
        <w:rPr>
          <w:rFonts w:ascii="宋体" w:hAnsi="宋体" w:cs="宋体"/>
          <w:b/>
          <w:bCs/>
          <w:color w:val="auto"/>
          <w:sz w:val="22"/>
          <w:szCs w:val="22"/>
          <w:highlight w:val="none"/>
        </w:rPr>
      </w:pPr>
      <w:bookmarkStart w:id="68" w:name="_Toc144974502"/>
      <w:bookmarkStart w:id="69" w:name="_Toc487461256"/>
      <w:bookmarkStart w:id="70" w:name="_Toc493081569"/>
      <w:bookmarkStart w:id="71" w:name="_Toc152042310"/>
      <w:bookmarkStart w:id="72" w:name="_Toc179632551"/>
      <w:bookmarkStart w:id="73" w:name="_Toc152045534"/>
      <w:r>
        <w:rPr>
          <w:rFonts w:hint="eastAsia" w:ascii="宋体" w:hAnsi="宋体" w:cs="宋体"/>
          <w:b/>
          <w:bCs/>
          <w:color w:val="auto"/>
          <w:sz w:val="22"/>
          <w:szCs w:val="22"/>
          <w:highlight w:val="none"/>
        </w:rPr>
        <w:t>1.4 投标人资格要求</w:t>
      </w:r>
      <w:bookmarkEnd w:id="68"/>
      <w:bookmarkEnd w:id="69"/>
      <w:bookmarkEnd w:id="70"/>
      <w:bookmarkEnd w:id="71"/>
      <w:bookmarkEnd w:id="72"/>
      <w:bookmarkEnd w:id="73"/>
    </w:p>
    <w:p w14:paraId="31F675ED">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1.4.1投标人应具备承担本项目的资质条件、能力等：见投标人须知前附表。</w:t>
      </w:r>
    </w:p>
    <w:p w14:paraId="1C4AF4F8">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1.4.2 投标人须知前附表规定接受联合体投标的，除应符合本章第1.4.1项和投标人须知前附表的要求外，还应遵守以下规定： </w:t>
      </w:r>
    </w:p>
    <w:p w14:paraId="01807BD2">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（1）联合体各方应按招标文件提供的格式签订联合体协议书，明确联合体牵头人和各方权利义务；</w:t>
      </w:r>
    </w:p>
    <w:p w14:paraId="126D0714">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（2）由同一专业的单位组成的联合体，按照资质等级较低的单位确定资质等级； </w:t>
      </w:r>
    </w:p>
    <w:p w14:paraId="4F099E71">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（3）联合体各方不得再以自己名义单独或参加其他联合体在同一项目中投标。</w:t>
      </w:r>
    </w:p>
    <w:p w14:paraId="3D3DA7A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1.4.3投标人之间如果存在下列情形之一的，不得同时参加同一标段（包别）或者不分标段（包别）的同一项目投标：</w:t>
      </w:r>
    </w:p>
    <w:p w14:paraId="7677D86F">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（1）法定代表人为同一个人的两个及两个以上法人；</w:t>
      </w:r>
    </w:p>
    <w:p w14:paraId="05824ED2">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（2）母公司、全资子公司及其控股公司；</w:t>
      </w:r>
    </w:p>
    <w:p w14:paraId="2FDD7476">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（3）参加投标的其他组织之间存在特殊的利害关系的；</w:t>
      </w:r>
    </w:p>
    <w:p w14:paraId="56439D6E">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（4）法律和行政法规规定的其他情形。</w:t>
      </w:r>
    </w:p>
    <w:p w14:paraId="791CBE1B">
      <w:pPr>
        <w:shd w:val="clear"/>
        <w:spacing w:line="360" w:lineRule="auto"/>
        <w:ind w:firstLine="440" w:firstLineChars="200"/>
        <w:rPr>
          <w:rFonts w:ascii="宋体" w:hAnsi="宋体" w:cs="宋体"/>
          <w:color w:val="auto"/>
          <w:sz w:val="22"/>
          <w:szCs w:val="22"/>
          <w:highlight w:val="none"/>
        </w:rPr>
      </w:pPr>
      <w:r>
        <w:rPr>
          <w:rFonts w:hint="eastAsia" w:ascii="宋体" w:hAnsi="宋体" w:cs="宋体"/>
          <w:bCs/>
          <w:color w:val="auto"/>
          <w:sz w:val="22"/>
          <w:szCs w:val="22"/>
          <w:highlight w:val="none"/>
        </w:rPr>
        <w:t>（5）</w:t>
      </w:r>
      <w:r>
        <w:rPr>
          <w:rFonts w:hint="eastAsia" w:ascii="宋体" w:hAnsi="宋体" w:cs="宋体"/>
          <w:color w:val="auto"/>
          <w:sz w:val="22"/>
          <w:szCs w:val="22"/>
          <w:highlight w:val="none"/>
        </w:rPr>
        <w:t>近三年（自招标公告向前追溯三年）内在经营活动中有行贿犯罪记录的；</w:t>
      </w:r>
    </w:p>
    <w:p w14:paraId="2E4AFF51">
      <w:pPr>
        <w:shd w:val="clear"/>
        <w:spacing w:line="360" w:lineRule="auto"/>
        <w:ind w:firstLine="440" w:firstLineChars="20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（6）在安徽省境内有因违法违规、不良履约等行为而被行政主管部门做出不良行为记录且在信息公开发布期；在安徽省境内被招投标监督管理部门或行业主管部门取消投标资格且在处罚期内</w:t>
      </w:r>
      <w:r>
        <w:rPr>
          <w:rFonts w:hint="eastAsia" w:ascii="宋体" w:hAnsi="宋体" w:cs="宋体"/>
          <w:color w:val="auto"/>
          <w:sz w:val="22"/>
          <w:szCs w:val="22"/>
          <w:highlight w:val="none"/>
          <w:lang w:eastAsia="zh-CN"/>
        </w:rPr>
        <w:t>。</w:t>
      </w:r>
    </w:p>
    <w:p w14:paraId="271C7F06">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有以上情形之一参与投标的，无论是否中标均视为弄虚作假，骗取中标行为。</w:t>
      </w:r>
    </w:p>
    <w:p w14:paraId="66BE2875">
      <w:pPr>
        <w:shd w:val="clear"/>
        <w:spacing w:line="360" w:lineRule="auto"/>
        <w:ind w:firstLine="440" w:firstLineChars="200"/>
        <w:outlineLvl w:val="2"/>
        <w:rPr>
          <w:rFonts w:ascii="宋体" w:hAnsi="宋体" w:cs="宋体"/>
          <w:b/>
          <w:bCs/>
          <w:color w:val="auto"/>
          <w:sz w:val="22"/>
          <w:szCs w:val="22"/>
          <w:highlight w:val="none"/>
        </w:rPr>
      </w:pPr>
      <w:bookmarkStart w:id="74" w:name="_Toc152042311"/>
      <w:bookmarkStart w:id="75" w:name="_Toc144974503"/>
      <w:bookmarkStart w:id="76" w:name="_Toc152045535"/>
      <w:bookmarkStart w:id="77" w:name="_Toc493081570"/>
      <w:bookmarkStart w:id="78" w:name="_Toc487461257"/>
      <w:bookmarkStart w:id="79" w:name="_Toc179632552"/>
      <w:r>
        <w:rPr>
          <w:rFonts w:hint="eastAsia" w:ascii="宋体" w:hAnsi="宋体" w:cs="宋体"/>
          <w:b/>
          <w:bCs/>
          <w:color w:val="auto"/>
          <w:sz w:val="22"/>
          <w:szCs w:val="22"/>
          <w:highlight w:val="none"/>
        </w:rPr>
        <w:t>1.5 费用承担</w:t>
      </w:r>
      <w:bookmarkEnd w:id="74"/>
      <w:bookmarkEnd w:id="75"/>
      <w:bookmarkEnd w:id="76"/>
      <w:bookmarkEnd w:id="77"/>
      <w:bookmarkEnd w:id="78"/>
      <w:bookmarkEnd w:id="79"/>
    </w:p>
    <w:p w14:paraId="3D9A4343">
      <w:pPr>
        <w:shd w:val="clear"/>
        <w:spacing w:line="360" w:lineRule="auto"/>
        <w:ind w:firstLine="440" w:firstLineChars="200"/>
        <w:rPr>
          <w:rFonts w:ascii="宋体" w:hAnsi="宋体" w:cs="宋体"/>
          <w:bCs/>
          <w:color w:val="auto"/>
          <w:sz w:val="22"/>
          <w:szCs w:val="22"/>
          <w:highlight w:val="none"/>
        </w:rPr>
      </w:pPr>
      <w:bookmarkStart w:id="80" w:name="_Toc152042312"/>
      <w:bookmarkStart w:id="81" w:name="_Toc144974504"/>
      <w:bookmarkStart w:id="82" w:name="_Toc179632553"/>
      <w:bookmarkStart w:id="83" w:name="_Toc152045536"/>
      <w:r>
        <w:rPr>
          <w:rFonts w:hint="eastAsia" w:ascii="宋体" w:hAnsi="宋体" w:cs="宋体"/>
          <w:bCs/>
          <w:color w:val="auto"/>
          <w:sz w:val="22"/>
          <w:szCs w:val="22"/>
          <w:highlight w:val="none"/>
        </w:rPr>
        <w:t>1.5.1投标人准备和参加投标活动发生的费用自理。</w:t>
      </w:r>
    </w:p>
    <w:p w14:paraId="1BC96928">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1.5.2招标代理服务费：见投标人须知前附表。</w:t>
      </w:r>
    </w:p>
    <w:p w14:paraId="08A118CB">
      <w:pPr>
        <w:shd w:val="clear"/>
        <w:spacing w:line="360" w:lineRule="auto"/>
        <w:ind w:firstLine="440" w:firstLineChars="200"/>
        <w:outlineLvl w:val="2"/>
        <w:rPr>
          <w:rFonts w:ascii="宋体" w:hAnsi="宋体" w:cs="宋体"/>
          <w:b/>
          <w:bCs/>
          <w:color w:val="auto"/>
          <w:sz w:val="22"/>
          <w:szCs w:val="22"/>
          <w:highlight w:val="none"/>
        </w:rPr>
      </w:pPr>
      <w:bookmarkStart w:id="84" w:name="_Toc493081571"/>
      <w:bookmarkStart w:id="85" w:name="_Toc487461258"/>
      <w:r>
        <w:rPr>
          <w:rFonts w:hint="eastAsia" w:ascii="宋体" w:hAnsi="宋体" w:cs="宋体"/>
          <w:b/>
          <w:bCs/>
          <w:color w:val="auto"/>
          <w:sz w:val="22"/>
          <w:szCs w:val="22"/>
          <w:highlight w:val="none"/>
        </w:rPr>
        <w:t>1.6 保密</w:t>
      </w:r>
      <w:bookmarkEnd w:id="80"/>
      <w:bookmarkEnd w:id="81"/>
      <w:bookmarkEnd w:id="82"/>
      <w:bookmarkEnd w:id="83"/>
      <w:bookmarkEnd w:id="84"/>
      <w:bookmarkEnd w:id="85"/>
    </w:p>
    <w:p w14:paraId="306DBADF">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参与招标投标活动的各方应对招标文件和投标文件中的商业和技术等秘密保密，违者应对由此造成的后果承担法律责任。 </w:t>
      </w:r>
    </w:p>
    <w:p w14:paraId="32C2C295">
      <w:pPr>
        <w:shd w:val="clear"/>
        <w:spacing w:line="360" w:lineRule="auto"/>
        <w:ind w:firstLine="440" w:firstLineChars="200"/>
        <w:outlineLvl w:val="2"/>
        <w:rPr>
          <w:rFonts w:ascii="宋体" w:hAnsi="宋体" w:cs="宋体"/>
          <w:b/>
          <w:bCs/>
          <w:color w:val="auto"/>
          <w:sz w:val="22"/>
          <w:szCs w:val="22"/>
          <w:highlight w:val="none"/>
        </w:rPr>
      </w:pPr>
      <w:bookmarkStart w:id="86" w:name="_Toc144974505"/>
      <w:bookmarkStart w:id="87" w:name="_Toc179632554"/>
      <w:bookmarkStart w:id="88" w:name="_Toc487461259"/>
      <w:bookmarkStart w:id="89" w:name="_Toc152045537"/>
      <w:bookmarkStart w:id="90" w:name="_Toc152042313"/>
      <w:bookmarkStart w:id="91" w:name="_Toc493081572"/>
      <w:r>
        <w:rPr>
          <w:rFonts w:hint="eastAsia" w:ascii="宋体" w:hAnsi="宋体" w:cs="宋体"/>
          <w:b/>
          <w:bCs/>
          <w:color w:val="auto"/>
          <w:sz w:val="22"/>
          <w:szCs w:val="22"/>
          <w:highlight w:val="none"/>
        </w:rPr>
        <w:t>1.7 语言</w:t>
      </w:r>
      <w:bookmarkEnd w:id="86"/>
      <w:r>
        <w:rPr>
          <w:rFonts w:hint="eastAsia" w:ascii="宋体" w:hAnsi="宋体" w:cs="宋体"/>
          <w:b/>
          <w:bCs/>
          <w:color w:val="auto"/>
          <w:sz w:val="22"/>
          <w:szCs w:val="22"/>
          <w:highlight w:val="none"/>
        </w:rPr>
        <w:t>文字</w:t>
      </w:r>
      <w:bookmarkEnd w:id="87"/>
      <w:bookmarkEnd w:id="88"/>
      <w:bookmarkEnd w:id="89"/>
      <w:bookmarkEnd w:id="90"/>
      <w:bookmarkEnd w:id="91"/>
    </w:p>
    <w:p w14:paraId="589A5BD2">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除专用术语外，与招标投标有关的语言均使用中文。必要时专用术语应附有中文注释。</w:t>
      </w:r>
    </w:p>
    <w:p w14:paraId="4B2969A7">
      <w:pPr>
        <w:shd w:val="clear"/>
        <w:spacing w:line="360" w:lineRule="auto"/>
        <w:ind w:firstLine="440" w:firstLineChars="200"/>
        <w:outlineLvl w:val="2"/>
        <w:rPr>
          <w:rFonts w:ascii="宋体" w:hAnsi="宋体" w:cs="宋体"/>
          <w:bCs/>
          <w:color w:val="auto"/>
          <w:sz w:val="22"/>
          <w:szCs w:val="22"/>
          <w:highlight w:val="none"/>
        </w:rPr>
      </w:pPr>
      <w:bookmarkStart w:id="92" w:name="_Toc179632555"/>
      <w:bookmarkStart w:id="93" w:name="_Toc152045538"/>
      <w:bookmarkStart w:id="94" w:name="_Toc144974506"/>
      <w:bookmarkStart w:id="95" w:name="_Toc487461260"/>
      <w:bookmarkStart w:id="96" w:name="_Toc152042314"/>
      <w:bookmarkStart w:id="97" w:name="_Toc493081573"/>
      <w:r>
        <w:rPr>
          <w:rFonts w:hint="eastAsia" w:ascii="宋体" w:hAnsi="宋体" w:cs="宋体"/>
          <w:b/>
          <w:bCs/>
          <w:color w:val="auto"/>
          <w:sz w:val="22"/>
          <w:szCs w:val="22"/>
          <w:highlight w:val="none"/>
        </w:rPr>
        <w:t>1.8 计量单位</w:t>
      </w:r>
      <w:bookmarkEnd w:id="92"/>
      <w:bookmarkEnd w:id="93"/>
      <w:bookmarkEnd w:id="94"/>
      <w:bookmarkEnd w:id="95"/>
      <w:bookmarkEnd w:id="96"/>
      <w:bookmarkEnd w:id="97"/>
    </w:p>
    <w:p w14:paraId="36BF5E74">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所有计量均采用中华人民共和国法定计量单位。</w:t>
      </w:r>
    </w:p>
    <w:p w14:paraId="55F1D963">
      <w:pPr>
        <w:shd w:val="clear"/>
        <w:spacing w:line="360" w:lineRule="auto"/>
        <w:ind w:firstLine="440" w:firstLineChars="200"/>
        <w:outlineLvl w:val="2"/>
        <w:rPr>
          <w:rFonts w:ascii="宋体" w:hAnsi="宋体" w:cs="宋体"/>
          <w:b/>
          <w:bCs/>
          <w:color w:val="auto"/>
          <w:sz w:val="22"/>
          <w:szCs w:val="22"/>
          <w:highlight w:val="none"/>
        </w:rPr>
      </w:pPr>
      <w:bookmarkStart w:id="98" w:name="_Toc493081574"/>
      <w:bookmarkStart w:id="99" w:name="_Toc152045539"/>
      <w:bookmarkStart w:id="100" w:name="_Toc144974507"/>
      <w:bookmarkStart w:id="101" w:name="_Toc152042315"/>
      <w:bookmarkStart w:id="102" w:name="_Toc179632556"/>
      <w:bookmarkStart w:id="103" w:name="_Toc487461261"/>
      <w:r>
        <w:rPr>
          <w:rFonts w:hint="eastAsia" w:ascii="宋体" w:hAnsi="宋体" w:cs="宋体"/>
          <w:b/>
          <w:bCs/>
          <w:color w:val="auto"/>
          <w:sz w:val="22"/>
          <w:szCs w:val="22"/>
          <w:highlight w:val="none"/>
        </w:rPr>
        <w:t>1.9 踏勘现场</w:t>
      </w:r>
      <w:bookmarkEnd w:id="98"/>
      <w:bookmarkEnd w:id="99"/>
      <w:bookmarkEnd w:id="100"/>
      <w:bookmarkEnd w:id="101"/>
      <w:bookmarkEnd w:id="102"/>
      <w:bookmarkEnd w:id="103"/>
    </w:p>
    <w:p w14:paraId="0C42C4CA">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1.9.1 投标人须知前附表规定组织踏勘现场的，招标人按投标人须知前附表规定的时间、地点组织投标人踏勘项目现场。 </w:t>
      </w:r>
    </w:p>
    <w:p w14:paraId="150F6BC1">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1.9.2 投标人踏勘现场发生的费用自理。</w:t>
      </w:r>
    </w:p>
    <w:p w14:paraId="5D57F56D">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1.9.3 除招标人的原因外，投标人自行负责在踏勘现场中所发生的人员伤亡和财产损失等。</w:t>
      </w:r>
    </w:p>
    <w:p w14:paraId="4991EADA">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1.9.4 招标人在踏勘现场中介绍的物业管理区内场地和相关的周边环境情况，供投标人在编制投标文件时参考，招标人不对投标人据此作出的判断和决策负责。</w:t>
      </w:r>
    </w:p>
    <w:p w14:paraId="5BFE2BE3">
      <w:pPr>
        <w:shd w:val="clear"/>
        <w:spacing w:line="360" w:lineRule="auto"/>
        <w:ind w:firstLine="440" w:firstLineChars="200"/>
        <w:outlineLvl w:val="2"/>
        <w:rPr>
          <w:rFonts w:ascii="宋体" w:hAnsi="宋体" w:cs="宋体"/>
          <w:b/>
          <w:bCs/>
          <w:color w:val="auto"/>
          <w:sz w:val="22"/>
          <w:szCs w:val="22"/>
          <w:highlight w:val="none"/>
        </w:rPr>
      </w:pPr>
      <w:bookmarkStart w:id="104" w:name="_Toc144974508"/>
      <w:bookmarkStart w:id="105" w:name="_Toc179632557"/>
      <w:bookmarkStart w:id="106" w:name="_Toc152042316"/>
      <w:bookmarkStart w:id="107" w:name="_Toc152045540"/>
      <w:bookmarkStart w:id="108" w:name="_Toc493081575"/>
      <w:bookmarkStart w:id="109" w:name="_Toc487461262"/>
      <w:r>
        <w:rPr>
          <w:rFonts w:hint="eastAsia" w:ascii="宋体" w:hAnsi="宋体" w:cs="宋体"/>
          <w:b/>
          <w:bCs/>
          <w:color w:val="auto"/>
          <w:sz w:val="22"/>
          <w:szCs w:val="22"/>
          <w:highlight w:val="none"/>
        </w:rPr>
        <w:t>1.10</w:t>
      </w:r>
      <w:bookmarkEnd w:id="104"/>
      <w:bookmarkEnd w:id="105"/>
      <w:bookmarkEnd w:id="106"/>
      <w:bookmarkEnd w:id="107"/>
      <w:bookmarkStart w:id="110" w:name="_Toc144974509"/>
      <w:bookmarkStart w:id="111" w:name="_Toc152045541"/>
      <w:bookmarkStart w:id="112" w:name="_Toc179632558"/>
      <w:bookmarkStart w:id="113" w:name="_Toc152042317"/>
      <w:r>
        <w:rPr>
          <w:rFonts w:hint="eastAsia" w:ascii="宋体" w:hAnsi="宋体" w:cs="宋体"/>
          <w:b/>
          <w:bCs/>
          <w:color w:val="auto"/>
          <w:sz w:val="22"/>
          <w:szCs w:val="22"/>
          <w:highlight w:val="none"/>
        </w:rPr>
        <w:t xml:space="preserve"> 投标预备会</w:t>
      </w:r>
      <w:bookmarkEnd w:id="108"/>
      <w:bookmarkEnd w:id="109"/>
    </w:p>
    <w:p w14:paraId="436753D5">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1.10.1 投标人须知前附表规定召开投标预备会的，招标人按投标人须知前附表规定的时间和地点召开投标预备会，澄清投标人提出的问题。</w:t>
      </w:r>
    </w:p>
    <w:p w14:paraId="560C534A">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1.10.2 投标人应在投标人须知前附表规定的时间前，以书面形式将提出的问题送达招标人，以便招标人在会议期间澄清。</w:t>
      </w:r>
    </w:p>
    <w:p w14:paraId="5DCED1DE">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1.10.3 投标预备会后，招标人在投标人须知前附表规定的时间内，将对投标人所提问题的澄清，以书面方式通知所有购买招标文件的投标人或在发布招标公告的网站发布。该澄清内容为招标文件的组成部分。</w:t>
      </w:r>
    </w:p>
    <w:p w14:paraId="49B88C66">
      <w:pPr>
        <w:shd w:val="clear"/>
        <w:spacing w:line="360" w:lineRule="auto"/>
        <w:ind w:firstLine="440" w:firstLineChars="200"/>
        <w:outlineLvl w:val="2"/>
        <w:rPr>
          <w:rFonts w:ascii="宋体" w:hAnsi="宋体" w:cs="宋体"/>
          <w:b/>
          <w:bCs/>
          <w:color w:val="auto"/>
          <w:sz w:val="22"/>
          <w:szCs w:val="22"/>
          <w:highlight w:val="none"/>
        </w:rPr>
      </w:pPr>
      <w:bookmarkStart w:id="114" w:name="_Toc493081576"/>
      <w:bookmarkStart w:id="115" w:name="_Toc487461263"/>
      <w:r>
        <w:rPr>
          <w:rFonts w:hint="eastAsia" w:ascii="宋体" w:hAnsi="宋体" w:cs="宋体"/>
          <w:b/>
          <w:bCs/>
          <w:color w:val="auto"/>
          <w:sz w:val="22"/>
          <w:szCs w:val="22"/>
          <w:highlight w:val="none"/>
        </w:rPr>
        <w:t>1.11 分包</w:t>
      </w:r>
      <w:bookmarkEnd w:id="110"/>
      <w:bookmarkEnd w:id="111"/>
      <w:bookmarkEnd w:id="112"/>
      <w:bookmarkEnd w:id="113"/>
      <w:bookmarkEnd w:id="114"/>
      <w:bookmarkEnd w:id="115"/>
    </w:p>
    <w:p w14:paraId="00ACE608">
      <w:pPr>
        <w:shd w:val="clear"/>
        <w:spacing w:line="360" w:lineRule="auto"/>
        <w:ind w:firstLine="440" w:firstLineChars="200"/>
        <w:outlineLvl w:val="2"/>
        <w:rPr>
          <w:rFonts w:ascii="宋体" w:hAnsi="宋体" w:cs="宋体"/>
          <w:color w:val="auto"/>
          <w:sz w:val="22"/>
          <w:szCs w:val="22"/>
          <w:highlight w:val="none"/>
        </w:rPr>
      </w:pPr>
      <w:bookmarkStart w:id="116" w:name="_Toc493081577"/>
      <w:bookmarkStart w:id="117" w:name="_Toc487461264"/>
      <w:bookmarkStart w:id="118" w:name="_Toc179632559"/>
      <w:r>
        <w:rPr>
          <w:rFonts w:hint="eastAsia" w:ascii="宋体" w:hAnsi="宋体" w:cs="宋体"/>
          <w:color w:val="auto"/>
          <w:sz w:val="22"/>
          <w:szCs w:val="22"/>
          <w:highlight w:val="none"/>
        </w:rPr>
        <w:t>不允许</w:t>
      </w:r>
      <w:bookmarkEnd w:id="116"/>
    </w:p>
    <w:p w14:paraId="2E25BF85">
      <w:pPr>
        <w:shd w:val="clear"/>
        <w:spacing w:line="360" w:lineRule="auto"/>
        <w:ind w:firstLine="440" w:firstLineChars="200"/>
        <w:outlineLvl w:val="2"/>
        <w:rPr>
          <w:rFonts w:ascii="宋体" w:hAnsi="宋体" w:cs="宋体"/>
          <w:b/>
          <w:bCs/>
          <w:color w:val="auto"/>
          <w:sz w:val="22"/>
          <w:szCs w:val="22"/>
          <w:highlight w:val="none"/>
        </w:rPr>
      </w:pPr>
      <w:bookmarkStart w:id="119" w:name="_Toc493081578"/>
      <w:r>
        <w:rPr>
          <w:rFonts w:hint="eastAsia" w:ascii="宋体" w:hAnsi="宋体" w:cs="宋体"/>
          <w:b/>
          <w:bCs/>
          <w:color w:val="auto"/>
          <w:sz w:val="22"/>
          <w:szCs w:val="22"/>
          <w:highlight w:val="none"/>
        </w:rPr>
        <w:t>1.12 偏离</w:t>
      </w:r>
      <w:bookmarkEnd w:id="117"/>
      <w:bookmarkEnd w:id="118"/>
      <w:bookmarkEnd w:id="119"/>
    </w:p>
    <w:p w14:paraId="20BDC81E">
      <w:pPr>
        <w:shd w:val="clear"/>
        <w:spacing w:line="360" w:lineRule="auto"/>
        <w:ind w:firstLine="220" w:firstLineChars="100"/>
        <w:outlineLvl w:val="1"/>
        <w:rPr>
          <w:rFonts w:ascii="宋体" w:hAnsi="宋体" w:cs="宋体"/>
          <w:color w:val="auto"/>
          <w:sz w:val="22"/>
          <w:szCs w:val="22"/>
          <w:highlight w:val="none"/>
        </w:rPr>
      </w:pPr>
      <w:bookmarkStart w:id="120" w:name="_Toc493081579"/>
      <w:bookmarkStart w:id="121" w:name="_Toc3468"/>
      <w:bookmarkStart w:id="122" w:name="_Toc179632560"/>
      <w:bookmarkStart w:id="123" w:name="_Toc487461265"/>
      <w:bookmarkStart w:id="124" w:name="_Toc144974510"/>
      <w:bookmarkStart w:id="125" w:name="_Toc152045542"/>
      <w:bookmarkStart w:id="126" w:name="_Toc152042318"/>
      <w:bookmarkStart w:id="127" w:name="_Toc487641632"/>
      <w:bookmarkStart w:id="128" w:name="_Toc15381"/>
      <w:r>
        <w:rPr>
          <w:rFonts w:hint="eastAsia" w:ascii="宋体" w:hAnsi="宋体" w:cs="宋体"/>
          <w:color w:val="auto"/>
          <w:sz w:val="22"/>
          <w:szCs w:val="22"/>
          <w:highlight w:val="none"/>
        </w:rPr>
        <w:t xml:space="preserve">   不允许</w:t>
      </w:r>
      <w:bookmarkEnd w:id="120"/>
      <w:bookmarkStart w:id="129" w:name="_Toc493081580"/>
    </w:p>
    <w:p w14:paraId="3D27ACCE">
      <w:pPr>
        <w:shd w:val="clear"/>
        <w:spacing w:line="360" w:lineRule="auto"/>
        <w:ind w:firstLine="220" w:firstLineChars="100"/>
        <w:outlineLvl w:val="1"/>
        <w:rPr>
          <w:rFonts w:ascii="宋体" w:hAnsi="宋体" w:cs="宋体"/>
          <w:b/>
          <w:bCs/>
          <w:color w:val="auto"/>
          <w:sz w:val="22"/>
          <w:szCs w:val="22"/>
          <w:highlight w:val="none"/>
        </w:rPr>
      </w:pPr>
      <w:r>
        <w:rPr>
          <w:rFonts w:hint="eastAsia" w:ascii="宋体" w:hAnsi="宋体" w:cs="宋体"/>
          <w:b/>
          <w:bCs/>
          <w:color w:val="auto"/>
          <w:sz w:val="22"/>
          <w:szCs w:val="22"/>
          <w:highlight w:val="none"/>
        </w:rPr>
        <w:t>2. 招标文件</w:t>
      </w:r>
      <w:bookmarkEnd w:id="121"/>
      <w:bookmarkEnd w:id="122"/>
      <w:bookmarkEnd w:id="123"/>
      <w:bookmarkEnd w:id="124"/>
      <w:bookmarkEnd w:id="125"/>
      <w:bookmarkEnd w:id="126"/>
      <w:bookmarkEnd w:id="127"/>
      <w:bookmarkEnd w:id="128"/>
      <w:bookmarkEnd w:id="129"/>
    </w:p>
    <w:p w14:paraId="357B4A21">
      <w:pPr>
        <w:shd w:val="clear"/>
        <w:spacing w:line="360" w:lineRule="auto"/>
        <w:ind w:firstLine="440" w:firstLineChars="200"/>
        <w:outlineLvl w:val="2"/>
        <w:rPr>
          <w:rFonts w:ascii="宋体" w:hAnsi="宋体" w:cs="宋体"/>
          <w:b/>
          <w:bCs/>
          <w:color w:val="auto"/>
          <w:sz w:val="22"/>
          <w:szCs w:val="22"/>
          <w:highlight w:val="none"/>
        </w:rPr>
      </w:pPr>
      <w:bookmarkStart w:id="130" w:name="_Toc179632561"/>
      <w:bookmarkStart w:id="131" w:name="_Toc487461266"/>
      <w:bookmarkStart w:id="132" w:name="_Toc152042319"/>
      <w:bookmarkStart w:id="133" w:name="_Toc152045543"/>
      <w:bookmarkStart w:id="134" w:name="_Toc144974511"/>
      <w:bookmarkStart w:id="135" w:name="_Toc493081581"/>
      <w:r>
        <w:rPr>
          <w:rFonts w:hint="eastAsia" w:ascii="宋体" w:hAnsi="宋体" w:cs="宋体"/>
          <w:b/>
          <w:bCs/>
          <w:color w:val="auto"/>
          <w:sz w:val="22"/>
          <w:szCs w:val="22"/>
          <w:highlight w:val="none"/>
        </w:rPr>
        <w:t>2.1 招标文件的组成</w:t>
      </w:r>
      <w:bookmarkEnd w:id="130"/>
      <w:bookmarkEnd w:id="131"/>
      <w:bookmarkEnd w:id="132"/>
      <w:bookmarkEnd w:id="133"/>
      <w:bookmarkEnd w:id="134"/>
      <w:bookmarkEnd w:id="135"/>
    </w:p>
    <w:p w14:paraId="4216F9D5">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本招标文件包括：</w:t>
      </w:r>
    </w:p>
    <w:p w14:paraId="0E365EC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（1）招标公告；</w:t>
      </w:r>
    </w:p>
    <w:p w14:paraId="689D55E8">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（2）投标人须知；</w:t>
      </w:r>
    </w:p>
    <w:p w14:paraId="6E0B2A3F">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（3）评标办法；</w:t>
      </w:r>
    </w:p>
    <w:p w14:paraId="609B8481">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（4）合同条款及格式；</w:t>
      </w:r>
    </w:p>
    <w:p w14:paraId="3A1C8AA4">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（5）投标文件格式；</w:t>
      </w:r>
    </w:p>
    <w:p w14:paraId="3B015D5B">
      <w:pPr>
        <w:shd w:val="clear"/>
        <w:spacing w:line="360" w:lineRule="auto"/>
        <w:ind w:firstLine="440" w:firstLineChars="200"/>
        <w:rPr>
          <w:rFonts w:ascii="宋体" w:hAnsi="宋体" w:cs="宋体"/>
          <w:bCs/>
          <w:color w:val="auto"/>
          <w:sz w:val="22"/>
          <w:szCs w:val="22"/>
          <w:highlight w:val="none"/>
        </w:rPr>
      </w:pPr>
      <w:bookmarkStart w:id="136" w:name="_Toc152042320"/>
      <w:bookmarkStart w:id="137" w:name="_Toc152045544"/>
      <w:bookmarkStart w:id="138" w:name="_Toc144974512"/>
      <w:bookmarkStart w:id="139" w:name="_Toc179632562"/>
      <w:bookmarkStart w:id="140" w:name="_Toc152042322"/>
      <w:bookmarkStart w:id="141" w:name="_Toc152045546"/>
      <w:bookmarkStart w:id="142" w:name="_Toc179632564"/>
      <w:bookmarkStart w:id="143" w:name="_Toc144974514"/>
      <w:r>
        <w:rPr>
          <w:rFonts w:hint="eastAsia" w:ascii="宋体" w:hAnsi="宋体" w:cs="宋体"/>
          <w:bCs/>
          <w:color w:val="auto"/>
          <w:sz w:val="22"/>
          <w:szCs w:val="22"/>
          <w:highlight w:val="none"/>
        </w:rPr>
        <w:t xml:space="preserve"> 根据本章第1.10款、第2.2款、第2.3款是对招标文件所作的澄清、修改，构成招标文件的组成部分, 招标文件及招标文件的澄清、修改前后不一致的，以最后发出的为准。</w:t>
      </w:r>
    </w:p>
    <w:p w14:paraId="6AE85CF2">
      <w:pPr>
        <w:shd w:val="clear"/>
        <w:spacing w:line="360" w:lineRule="auto"/>
        <w:ind w:firstLine="440" w:firstLineChars="200"/>
        <w:outlineLvl w:val="2"/>
        <w:rPr>
          <w:rFonts w:ascii="宋体" w:hAnsi="宋体" w:cs="宋体"/>
          <w:b/>
          <w:bCs/>
          <w:color w:val="auto"/>
          <w:sz w:val="22"/>
          <w:szCs w:val="22"/>
          <w:highlight w:val="none"/>
        </w:rPr>
      </w:pPr>
      <w:bookmarkStart w:id="144" w:name="_Toc493081582"/>
      <w:bookmarkStart w:id="145" w:name="_Toc487461267"/>
      <w:r>
        <w:rPr>
          <w:rFonts w:hint="eastAsia" w:ascii="宋体" w:hAnsi="宋体" w:cs="宋体"/>
          <w:b/>
          <w:bCs/>
          <w:color w:val="auto"/>
          <w:sz w:val="22"/>
          <w:szCs w:val="22"/>
          <w:highlight w:val="none"/>
        </w:rPr>
        <w:t>2.2 招标文件的</w:t>
      </w:r>
      <w:bookmarkEnd w:id="136"/>
      <w:bookmarkEnd w:id="137"/>
      <w:bookmarkEnd w:id="138"/>
      <w:bookmarkEnd w:id="139"/>
      <w:r>
        <w:rPr>
          <w:rFonts w:hint="eastAsia" w:ascii="宋体" w:hAnsi="宋体" w:cs="宋体"/>
          <w:b/>
          <w:bCs/>
          <w:color w:val="auto"/>
          <w:sz w:val="22"/>
          <w:szCs w:val="22"/>
          <w:highlight w:val="none"/>
        </w:rPr>
        <w:t>异议答复</w:t>
      </w:r>
      <w:bookmarkEnd w:id="144"/>
      <w:bookmarkEnd w:id="145"/>
    </w:p>
    <w:p w14:paraId="626F30B2">
      <w:pPr>
        <w:shd w:val="clear"/>
        <w:spacing w:line="360" w:lineRule="auto"/>
        <w:ind w:firstLine="440" w:firstLineChars="200"/>
        <w:rPr>
          <w:rFonts w:ascii="宋体" w:hAnsi="宋体" w:cs="宋体"/>
          <w:bCs/>
          <w:color w:val="auto"/>
          <w:sz w:val="22"/>
          <w:szCs w:val="22"/>
          <w:highlight w:val="none"/>
        </w:rPr>
      </w:pPr>
      <w:bookmarkStart w:id="146" w:name="_Toc152042321"/>
      <w:bookmarkStart w:id="147" w:name="_Toc144974513"/>
      <w:bookmarkStart w:id="148" w:name="_Toc152045545"/>
      <w:bookmarkStart w:id="149" w:name="_Toc179632563"/>
      <w:r>
        <w:rPr>
          <w:rFonts w:hint="eastAsia" w:ascii="宋体" w:hAnsi="宋体" w:cs="宋体"/>
          <w:bCs/>
          <w:color w:val="auto"/>
          <w:sz w:val="22"/>
          <w:szCs w:val="22"/>
          <w:highlight w:val="none"/>
        </w:rPr>
        <w:t>见投标人须知前附表</w:t>
      </w:r>
    </w:p>
    <w:p w14:paraId="08E14588">
      <w:pPr>
        <w:shd w:val="clear"/>
        <w:spacing w:after="120" w:line="360" w:lineRule="auto"/>
        <w:ind w:firstLine="420"/>
        <w:rPr>
          <w:rFonts w:ascii="宋体" w:hAnsi="宋体" w:cs="宋体"/>
          <w:b/>
          <w:bCs/>
          <w:color w:val="auto"/>
          <w:sz w:val="22"/>
          <w:szCs w:val="22"/>
          <w:highlight w:val="none"/>
        </w:rPr>
      </w:pPr>
      <w:bookmarkStart w:id="150" w:name="_Toc493081583"/>
      <w:bookmarkStart w:id="151" w:name="_Toc487461268"/>
      <w:r>
        <w:rPr>
          <w:rFonts w:hint="eastAsia" w:ascii="宋体" w:hAnsi="宋体" w:cs="宋体"/>
          <w:b/>
          <w:bCs/>
          <w:color w:val="auto"/>
          <w:sz w:val="22"/>
          <w:szCs w:val="22"/>
          <w:highlight w:val="none"/>
        </w:rPr>
        <w:t>2.3 招标文件的澄清及修改</w:t>
      </w:r>
      <w:bookmarkEnd w:id="146"/>
      <w:bookmarkEnd w:id="147"/>
      <w:bookmarkEnd w:id="148"/>
      <w:bookmarkEnd w:id="149"/>
      <w:bookmarkEnd w:id="150"/>
      <w:bookmarkEnd w:id="151"/>
    </w:p>
    <w:p w14:paraId="569F40FD">
      <w:pPr>
        <w:shd w:val="clear"/>
        <w:spacing w:after="120" w:line="360" w:lineRule="auto"/>
        <w:ind w:firstLine="420"/>
        <w:rPr>
          <w:rFonts w:ascii="宋体" w:hAnsi="宋体" w:cs="宋体"/>
          <w:bCs/>
          <w:color w:val="auto"/>
          <w:sz w:val="22"/>
          <w:szCs w:val="22"/>
          <w:highlight w:val="none"/>
        </w:rPr>
      </w:pPr>
      <w:r>
        <w:rPr>
          <w:rFonts w:hint="eastAsia" w:ascii="宋体" w:hAnsi="宋体" w:cs="宋体"/>
          <w:bCs/>
          <w:color w:val="auto"/>
          <w:sz w:val="22"/>
          <w:szCs w:val="22"/>
          <w:highlight w:val="none"/>
        </w:rPr>
        <w:t>见投标人须知前附表</w:t>
      </w:r>
      <w:bookmarkStart w:id="152" w:name="_Toc8528"/>
      <w:bookmarkStart w:id="153" w:name="_Toc493081584"/>
      <w:bookmarkStart w:id="154" w:name="_Toc487641633"/>
      <w:bookmarkStart w:id="155" w:name="_Toc4341"/>
      <w:bookmarkStart w:id="156" w:name="_Toc487461269"/>
    </w:p>
    <w:p w14:paraId="338D6E60">
      <w:pPr>
        <w:shd w:val="clear"/>
        <w:spacing w:after="120" w:line="360" w:lineRule="auto"/>
        <w:rPr>
          <w:rFonts w:ascii="宋体" w:hAnsi="宋体" w:cs="宋体"/>
          <w:b/>
          <w:bCs/>
          <w:color w:val="auto"/>
          <w:sz w:val="22"/>
          <w:szCs w:val="22"/>
          <w:highlight w:val="none"/>
        </w:rPr>
      </w:pPr>
      <w:r>
        <w:rPr>
          <w:rFonts w:hint="eastAsia" w:ascii="宋体" w:hAnsi="宋体" w:cs="宋体"/>
          <w:b/>
          <w:bCs/>
          <w:color w:val="auto"/>
          <w:sz w:val="22"/>
          <w:szCs w:val="22"/>
          <w:highlight w:val="none"/>
        </w:rPr>
        <w:t>3. 投标文件</w:t>
      </w:r>
      <w:bookmarkEnd w:id="140"/>
      <w:bookmarkEnd w:id="141"/>
      <w:bookmarkEnd w:id="142"/>
      <w:bookmarkEnd w:id="143"/>
      <w:bookmarkEnd w:id="152"/>
      <w:bookmarkEnd w:id="153"/>
      <w:bookmarkEnd w:id="154"/>
      <w:bookmarkEnd w:id="155"/>
      <w:bookmarkEnd w:id="156"/>
    </w:p>
    <w:p w14:paraId="18D86FBC">
      <w:pPr>
        <w:shd w:val="clear"/>
        <w:spacing w:line="360" w:lineRule="auto"/>
        <w:ind w:firstLine="440" w:firstLineChars="200"/>
        <w:outlineLvl w:val="2"/>
        <w:rPr>
          <w:rFonts w:ascii="宋体" w:hAnsi="宋体" w:cs="宋体"/>
          <w:b/>
          <w:bCs/>
          <w:color w:val="auto"/>
          <w:sz w:val="22"/>
          <w:szCs w:val="22"/>
          <w:highlight w:val="none"/>
        </w:rPr>
      </w:pPr>
      <w:bookmarkStart w:id="157" w:name="_Toc493081585"/>
      <w:bookmarkStart w:id="158" w:name="_Toc487461270"/>
      <w:r>
        <w:rPr>
          <w:rFonts w:hint="eastAsia" w:ascii="宋体" w:hAnsi="宋体" w:cs="宋体"/>
          <w:b/>
          <w:bCs/>
          <w:color w:val="auto"/>
          <w:sz w:val="22"/>
          <w:szCs w:val="22"/>
          <w:highlight w:val="none"/>
        </w:rPr>
        <w:t>3.1投标文件的组成</w:t>
      </w:r>
      <w:bookmarkEnd w:id="157"/>
      <w:bookmarkEnd w:id="158"/>
    </w:p>
    <w:p w14:paraId="0A9E15AC">
      <w:pPr>
        <w:shd w:val="clear"/>
        <w:spacing w:line="360" w:lineRule="auto"/>
        <w:ind w:firstLine="440" w:firstLineChars="200"/>
        <w:rPr>
          <w:rFonts w:ascii="宋体" w:hAnsi="宋体" w:cs="宋体"/>
          <w:bCs/>
          <w:color w:val="auto"/>
          <w:sz w:val="22"/>
          <w:szCs w:val="22"/>
          <w:highlight w:val="none"/>
        </w:rPr>
      </w:pPr>
      <w:bookmarkStart w:id="159" w:name="_Toc179632565"/>
      <w:bookmarkStart w:id="160" w:name="_Toc152042323"/>
      <w:bookmarkStart w:id="161" w:name="_Toc144974515"/>
      <w:bookmarkStart w:id="162" w:name="_Toc152045547"/>
      <w:r>
        <w:rPr>
          <w:rFonts w:hint="eastAsia" w:ascii="宋体" w:hAnsi="宋体" w:cs="宋体"/>
          <w:bCs/>
          <w:color w:val="auto"/>
          <w:sz w:val="22"/>
          <w:szCs w:val="22"/>
          <w:highlight w:val="none"/>
        </w:rPr>
        <w:t>3.1.1 投标文件的组成</w:t>
      </w:r>
      <w:bookmarkEnd w:id="159"/>
      <w:bookmarkEnd w:id="160"/>
      <w:bookmarkEnd w:id="161"/>
      <w:bookmarkEnd w:id="162"/>
    </w:p>
    <w:p w14:paraId="6E637926">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（1）授权委托书；</w:t>
      </w:r>
    </w:p>
    <w:p w14:paraId="4F8DD32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（2）投标函及附件；</w:t>
      </w:r>
    </w:p>
    <w:p w14:paraId="1A14B45D">
      <w:pPr>
        <w:shd w:val="clear"/>
        <w:spacing w:line="360" w:lineRule="auto"/>
        <w:ind w:firstLine="440" w:firstLineChars="200"/>
        <w:rPr>
          <w:rFonts w:hint="default" w:ascii="宋体" w:hAnsi="宋体" w:cs="宋体"/>
          <w:bCs/>
          <w:color w:val="auto"/>
          <w:sz w:val="22"/>
          <w:szCs w:val="22"/>
          <w:highlight w:val="none"/>
          <w:lang w:val="en-US"/>
        </w:rPr>
      </w:pPr>
      <w:r>
        <w:rPr>
          <w:rFonts w:hint="eastAsia" w:ascii="宋体" w:hAnsi="宋体" w:cs="宋体"/>
          <w:bCs/>
          <w:color w:val="auto"/>
          <w:sz w:val="22"/>
          <w:szCs w:val="22"/>
          <w:highlight w:val="none"/>
        </w:rPr>
        <w:t>（3）</w:t>
      </w:r>
      <w:r>
        <w:rPr>
          <w:rFonts w:hint="eastAsia" w:ascii="宋体" w:hAnsi="宋体" w:cs="宋体"/>
          <w:bCs/>
          <w:color w:val="auto"/>
          <w:sz w:val="22"/>
          <w:szCs w:val="22"/>
          <w:highlight w:val="none"/>
          <w:lang w:val="en-US" w:eastAsia="zh-CN"/>
        </w:rPr>
        <w:t>投标人企业简介；</w:t>
      </w:r>
    </w:p>
    <w:p w14:paraId="2E817B8C">
      <w:pPr>
        <w:shd w:val="clear"/>
        <w:spacing w:line="360" w:lineRule="auto"/>
        <w:ind w:firstLine="440" w:firstLineChars="200"/>
        <w:rPr>
          <w:rFonts w:hint="eastAsia" w:ascii="宋体" w:hAnsi="宋体" w:eastAsia="宋体" w:cs="宋体"/>
          <w:bCs/>
          <w:color w:val="auto"/>
          <w:sz w:val="22"/>
          <w:szCs w:val="22"/>
          <w:highlight w:val="none"/>
          <w:lang w:eastAsia="zh-CN"/>
        </w:rPr>
      </w:pPr>
      <w:r>
        <w:rPr>
          <w:rFonts w:hint="eastAsia" w:ascii="宋体" w:hAnsi="宋体" w:cs="宋体"/>
          <w:bCs/>
          <w:color w:val="auto"/>
          <w:sz w:val="22"/>
          <w:szCs w:val="22"/>
          <w:highlight w:val="none"/>
        </w:rPr>
        <w:t>（</w:t>
      </w:r>
      <w:r>
        <w:rPr>
          <w:rFonts w:hint="eastAsia" w:ascii="宋体" w:hAnsi="宋体" w:cs="宋体"/>
          <w:bCs/>
          <w:color w:val="auto"/>
          <w:sz w:val="22"/>
          <w:szCs w:val="22"/>
          <w:highlight w:val="none"/>
          <w:lang w:val="en-US" w:eastAsia="zh-CN"/>
        </w:rPr>
        <w:t>4</w:t>
      </w:r>
      <w:r>
        <w:rPr>
          <w:rFonts w:hint="eastAsia" w:ascii="宋体" w:hAnsi="宋体" w:cs="宋体"/>
          <w:bCs/>
          <w:color w:val="auto"/>
          <w:sz w:val="22"/>
          <w:szCs w:val="22"/>
          <w:highlight w:val="none"/>
        </w:rPr>
        <w:t>）</w:t>
      </w:r>
      <w:r>
        <w:rPr>
          <w:rFonts w:hint="eastAsia" w:ascii="宋体" w:hAnsi="宋体" w:cs="宋体"/>
          <w:bCs/>
          <w:color w:val="auto"/>
          <w:sz w:val="22"/>
          <w:szCs w:val="22"/>
          <w:highlight w:val="none"/>
          <w:lang w:val="en-US" w:eastAsia="zh-CN"/>
        </w:rPr>
        <w:t>人员配备</w:t>
      </w:r>
      <w:r>
        <w:rPr>
          <w:rFonts w:hint="eastAsia" w:ascii="宋体" w:hAnsi="宋体" w:cs="宋体"/>
          <w:bCs/>
          <w:color w:val="auto"/>
          <w:sz w:val="22"/>
          <w:szCs w:val="22"/>
          <w:highlight w:val="none"/>
          <w:lang w:eastAsia="zh-CN"/>
        </w:rPr>
        <w:t>；</w:t>
      </w:r>
    </w:p>
    <w:p w14:paraId="30EEF0AC">
      <w:pPr>
        <w:shd w:val="clear"/>
        <w:spacing w:line="360" w:lineRule="auto"/>
        <w:ind w:firstLine="440" w:firstLineChars="200"/>
        <w:rPr>
          <w:rFonts w:hint="eastAsia" w:ascii="宋体" w:hAnsi="宋体" w:cs="宋体"/>
          <w:bCs/>
          <w:color w:val="auto"/>
          <w:sz w:val="22"/>
          <w:szCs w:val="22"/>
          <w:highlight w:val="none"/>
          <w:lang w:eastAsia="zh-CN"/>
        </w:rPr>
      </w:pPr>
      <w:r>
        <w:rPr>
          <w:rFonts w:hint="eastAsia" w:ascii="宋体" w:hAnsi="宋体" w:cs="宋体"/>
          <w:bCs/>
          <w:color w:val="auto"/>
          <w:sz w:val="22"/>
          <w:szCs w:val="22"/>
          <w:highlight w:val="none"/>
        </w:rPr>
        <w:t>（</w:t>
      </w:r>
      <w:r>
        <w:rPr>
          <w:rFonts w:hint="eastAsia" w:ascii="宋体" w:hAnsi="宋体" w:cs="宋体"/>
          <w:bCs/>
          <w:color w:val="auto"/>
          <w:sz w:val="22"/>
          <w:szCs w:val="22"/>
          <w:highlight w:val="none"/>
          <w:lang w:val="en-US" w:eastAsia="zh-CN"/>
        </w:rPr>
        <w:t>5</w:t>
      </w:r>
      <w:r>
        <w:rPr>
          <w:rFonts w:hint="eastAsia" w:ascii="宋体" w:hAnsi="宋体" w:cs="宋体"/>
          <w:bCs/>
          <w:color w:val="auto"/>
          <w:sz w:val="22"/>
          <w:szCs w:val="22"/>
          <w:highlight w:val="none"/>
        </w:rPr>
        <w:t>）</w:t>
      </w:r>
      <w:r>
        <w:rPr>
          <w:rFonts w:hint="eastAsia" w:ascii="宋体" w:hAnsi="宋体" w:cs="宋体"/>
          <w:color w:val="auto"/>
          <w:sz w:val="22"/>
          <w:szCs w:val="22"/>
          <w:highlight w:val="none"/>
          <w:lang w:val="en-US" w:eastAsia="zh-CN"/>
        </w:rPr>
        <w:t>服务方案</w:t>
      </w:r>
      <w:r>
        <w:rPr>
          <w:rFonts w:hint="eastAsia" w:ascii="宋体" w:hAnsi="宋体" w:cs="宋体"/>
          <w:bCs/>
          <w:color w:val="auto"/>
          <w:sz w:val="22"/>
          <w:szCs w:val="22"/>
          <w:highlight w:val="none"/>
          <w:lang w:eastAsia="zh-CN"/>
        </w:rPr>
        <w:t>；</w:t>
      </w:r>
    </w:p>
    <w:p w14:paraId="7E5FF5E3">
      <w:pPr>
        <w:shd w:val="clear"/>
        <w:spacing w:line="360" w:lineRule="auto"/>
        <w:ind w:firstLine="440" w:firstLineChars="200"/>
        <w:rPr>
          <w:rFonts w:hint="eastAsia"/>
          <w:color w:val="auto"/>
          <w:highlight w:val="none"/>
          <w:lang w:eastAsia="zh-CN"/>
        </w:rPr>
      </w:pPr>
      <w:r>
        <w:rPr>
          <w:rFonts w:hint="eastAsia" w:ascii="宋体" w:hAnsi="宋体" w:eastAsia="宋体" w:cs="宋体"/>
          <w:bCs/>
          <w:color w:val="auto"/>
          <w:sz w:val="22"/>
          <w:szCs w:val="22"/>
          <w:highlight w:val="none"/>
        </w:rPr>
        <w:t>（</w:t>
      </w:r>
      <w:r>
        <w:rPr>
          <w:rFonts w:hint="eastAsia" w:ascii="宋体" w:hAnsi="宋体" w:cs="宋体"/>
          <w:bCs/>
          <w:color w:val="auto"/>
          <w:sz w:val="22"/>
          <w:szCs w:val="22"/>
          <w:highlight w:val="none"/>
          <w:lang w:val="en-US" w:eastAsia="zh-CN"/>
        </w:rPr>
        <w:t>6</w:t>
      </w:r>
      <w:r>
        <w:rPr>
          <w:rFonts w:hint="eastAsia" w:ascii="宋体" w:hAnsi="宋体" w:eastAsia="宋体" w:cs="宋体"/>
          <w:bCs/>
          <w:color w:val="auto"/>
          <w:sz w:val="22"/>
          <w:szCs w:val="22"/>
          <w:highlight w:val="none"/>
        </w:rPr>
        <w:t>）其它材料</w:t>
      </w:r>
      <w:r>
        <w:rPr>
          <w:rFonts w:hint="eastAsia" w:ascii="宋体" w:hAnsi="宋体" w:eastAsia="宋体" w:cs="宋体"/>
          <w:bCs/>
          <w:color w:val="auto"/>
          <w:sz w:val="22"/>
          <w:szCs w:val="22"/>
          <w:highlight w:val="none"/>
          <w:lang w:eastAsia="zh-CN"/>
        </w:rPr>
        <w:t>。</w:t>
      </w:r>
    </w:p>
    <w:p w14:paraId="3D18CF04">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3.1.2  投标人须知前附表规定不接受联合体投标的或如投标人的法定代表人投标，不需授权委托书，投标文件不包括本章第3.1.1（1）目所指的授权委托书。 </w:t>
      </w:r>
    </w:p>
    <w:p w14:paraId="348277EF">
      <w:pPr>
        <w:shd w:val="clear"/>
        <w:spacing w:line="360" w:lineRule="auto"/>
        <w:ind w:firstLine="440" w:firstLineChars="200"/>
        <w:outlineLvl w:val="2"/>
        <w:rPr>
          <w:rFonts w:ascii="宋体" w:hAnsi="宋体" w:cs="宋体"/>
          <w:b/>
          <w:bCs/>
          <w:color w:val="auto"/>
          <w:sz w:val="22"/>
          <w:szCs w:val="22"/>
          <w:highlight w:val="none"/>
        </w:rPr>
      </w:pPr>
      <w:bookmarkStart w:id="163" w:name="_Toc152042324"/>
      <w:bookmarkStart w:id="164" w:name="_Toc487461271"/>
      <w:bookmarkStart w:id="165" w:name="_Toc152045548"/>
      <w:bookmarkStart w:id="166" w:name="_Toc179632566"/>
      <w:bookmarkStart w:id="167" w:name="_Toc493081586"/>
      <w:bookmarkStart w:id="168" w:name="_Toc144974516"/>
      <w:r>
        <w:rPr>
          <w:rFonts w:hint="eastAsia" w:ascii="宋体" w:hAnsi="宋体" w:cs="宋体"/>
          <w:b/>
          <w:bCs/>
          <w:color w:val="auto"/>
          <w:sz w:val="22"/>
          <w:szCs w:val="22"/>
          <w:highlight w:val="none"/>
        </w:rPr>
        <w:t>3.2 投标报价</w:t>
      </w:r>
      <w:bookmarkEnd w:id="163"/>
      <w:bookmarkEnd w:id="164"/>
      <w:bookmarkEnd w:id="165"/>
      <w:bookmarkEnd w:id="166"/>
      <w:bookmarkEnd w:id="167"/>
      <w:bookmarkEnd w:id="168"/>
    </w:p>
    <w:p w14:paraId="67BB2DD7">
      <w:pPr>
        <w:shd w:val="clear"/>
        <w:spacing w:line="360" w:lineRule="auto"/>
        <w:ind w:firstLine="440" w:firstLineChars="200"/>
        <w:rPr>
          <w:rFonts w:ascii="宋体" w:hAnsi="宋体" w:cs="宋体"/>
          <w:color w:val="auto"/>
          <w:sz w:val="22"/>
          <w:szCs w:val="22"/>
          <w:highlight w:val="none"/>
        </w:rPr>
      </w:pPr>
      <w:r>
        <w:rPr>
          <w:rFonts w:hint="eastAsia" w:ascii="宋体" w:hAnsi="宋体" w:cs="宋体"/>
          <w:bCs/>
          <w:color w:val="auto"/>
          <w:sz w:val="22"/>
          <w:szCs w:val="22"/>
          <w:highlight w:val="none"/>
        </w:rPr>
        <w:t>3.2.1  投标报价应包含完成</w:t>
      </w:r>
      <w:r>
        <w:rPr>
          <w:rFonts w:hint="eastAsia" w:ascii="宋体" w:hAnsi="宋体" w:cs="宋体"/>
          <w:color w:val="auto"/>
          <w:sz w:val="22"/>
          <w:szCs w:val="22"/>
          <w:highlight w:val="none"/>
        </w:rPr>
        <w:t>本项目招标范围</w:t>
      </w:r>
      <w:r>
        <w:rPr>
          <w:rFonts w:hint="eastAsia" w:ascii="宋体" w:hAnsi="宋体" w:cs="宋体"/>
          <w:color w:val="auto"/>
          <w:kern w:val="0"/>
          <w:sz w:val="22"/>
          <w:szCs w:val="22"/>
          <w:highlight w:val="none"/>
        </w:rPr>
        <w:t>所需的一切费用</w:t>
      </w:r>
      <w:r>
        <w:rPr>
          <w:rFonts w:hint="eastAsia" w:ascii="宋体" w:hAnsi="宋体" w:cs="宋体"/>
          <w:color w:val="auto"/>
          <w:sz w:val="22"/>
          <w:szCs w:val="22"/>
          <w:highlight w:val="none"/>
        </w:rPr>
        <w:t>：</w:t>
      </w:r>
    </w:p>
    <w:p w14:paraId="7C3325E5">
      <w:pPr>
        <w:shd w:val="clear"/>
        <w:spacing w:line="360" w:lineRule="auto"/>
        <w:ind w:firstLine="440" w:firstLineChars="200"/>
        <w:rPr>
          <w:rFonts w:ascii="宋体" w:hAnsi="宋体" w:cs="宋体"/>
          <w:b/>
          <w:bCs/>
          <w:color w:val="auto"/>
          <w:sz w:val="22"/>
          <w:szCs w:val="22"/>
          <w:highlight w:val="none"/>
        </w:rPr>
      </w:pPr>
      <w:r>
        <w:rPr>
          <w:rFonts w:hint="eastAsia" w:ascii="宋体" w:hAnsi="宋体" w:cs="宋体"/>
          <w:bCs/>
          <w:color w:val="auto"/>
          <w:sz w:val="22"/>
          <w:szCs w:val="22"/>
          <w:highlight w:val="none"/>
        </w:rPr>
        <w:t>3.2.2  投标报价应按照第六章所给出的格式进行填写。</w:t>
      </w:r>
    </w:p>
    <w:p w14:paraId="5D09BDD5">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3.2.3  在投标人须知前附表规定的投标有效期内，投标人不得要求撤销或修改其投标文件。</w:t>
      </w:r>
    </w:p>
    <w:p w14:paraId="473501A0">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3.2.4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4E219039">
      <w:pPr>
        <w:shd w:val="clear"/>
        <w:spacing w:line="360" w:lineRule="auto"/>
        <w:ind w:firstLine="440" w:firstLineChars="200"/>
        <w:outlineLvl w:val="2"/>
        <w:rPr>
          <w:rFonts w:ascii="宋体" w:hAnsi="宋体" w:cs="宋体"/>
          <w:b/>
          <w:bCs/>
          <w:color w:val="auto"/>
          <w:sz w:val="22"/>
          <w:szCs w:val="22"/>
          <w:highlight w:val="none"/>
        </w:rPr>
      </w:pPr>
      <w:bookmarkStart w:id="169" w:name="_Toc487461273"/>
      <w:bookmarkStart w:id="170" w:name="_Toc493081588"/>
      <w:bookmarkStart w:id="171" w:name="_Toc152045551"/>
      <w:bookmarkStart w:id="172" w:name="_Toc152042327"/>
      <w:bookmarkStart w:id="173" w:name="_Toc179632569"/>
      <w:bookmarkStart w:id="174" w:name="_Toc144974519"/>
      <w:r>
        <w:rPr>
          <w:rFonts w:hint="eastAsia" w:ascii="宋体" w:hAnsi="宋体" w:cs="宋体"/>
          <w:b/>
          <w:bCs/>
          <w:color w:val="auto"/>
          <w:sz w:val="22"/>
          <w:szCs w:val="22"/>
          <w:highlight w:val="none"/>
        </w:rPr>
        <w:t>3.4 投标保证金</w:t>
      </w:r>
      <w:bookmarkEnd w:id="169"/>
      <w:bookmarkEnd w:id="170"/>
      <w:r>
        <w:rPr>
          <w:rFonts w:hint="eastAsia" w:ascii="宋体" w:hAnsi="宋体" w:cs="宋体"/>
          <w:b/>
          <w:bCs/>
          <w:color w:val="auto"/>
          <w:sz w:val="22"/>
          <w:szCs w:val="22"/>
          <w:highlight w:val="none"/>
        </w:rPr>
        <w:t>（如有）</w:t>
      </w:r>
    </w:p>
    <w:p w14:paraId="6FC90133">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3.4.1  投标人在递交投标文件的同时，应按投标人须知前附表规定的金额、担保形式递交投标保证金，并作为其投标文件的组成部分。联合体投标的，其投标保证金由牵头人递交，并应符合投标人须知前附表的规定。</w:t>
      </w:r>
    </w:p>
    <w:p w14:paraId="334F1A79">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3.4.2  投标人不按本章第3.4.1项要求提交投标保证金的，其投标文件将被否决。</w:t>
      </w:r>
    </w:p>
    <w:p w14:paraId="74AD58F0">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3.4.3  投标保证金的退还：投标人的投标保证金最迟应当在书面合同签订备案后5日内由招标代理机构代表招标人负责办理退还(无息)。</w:t>
      </w:r>
    </w:p>
    <w:p w14:paraId="184E2121">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 xml:space="preserve">3.4.4 有下列情形之一的，投标保证金不予退还：  </w:t>
      </w:r>
    </w:p>
    <w:p w14:paraId="2B03F9CE">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（1）投标人在规定的投标有效期内撤销或修改其投标文件；</w:t>
      </w:r>
    </w:p>
    <w:p w14:paraId="43FDC3BA">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（2）中标人在收到中标通知书后，无正当理由拒签合同协议书或未按招标文件规定提交履约保证金；</w:t>
      </w:r>
    </w:p>
    <w:p w14:paraId="12DA7F00">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（3）投标人提供虚假投标资料或虚假声明、承诺的。</w:t>
      </w:r>
    </w:p>
    <w:p w14:paraId="4A31E676">
      <w:pPr>
        <w:shd w:val="clear"/>
        <w:spacing w:line="360" w:lineRule="auto"/>
        <w:ind w:firstLine="440" w:firstLineChars="200"/>
        <w:outlineLvl w:val="2"/>
        <w:rPr>
          <w:rFonts w:ascii="宋体" w:hAnsi="宋体" w:cs="宋体"/>
          <w:b/>
          <w:bCs/>
          <w:color w:val="auto"/>
          <w:sz w:val="22"/>
          <w:szCs w:val="22"/>
          <w:highlight w:val="none"/>
        </w:rPr>
      </w:pPr>
      <w:bookmarkStart w:id="175" w:name="_Toc493081589"/>
      <w:bookmarkStart w:id="176" w:name="_Toc487461274"/>
      <w:r>
        <w:rPr>
          <w:rFonts w:hint="eastAsia" w:ascii="宋体" w:hAnsi="宋体" w:cs="宋体"/>
          <w:b/>
          <w:bCs/>
          <w:color w:val="auto"/>
          <w:sz w:val="22"/>
          <w:szCs w:val="22"/>
          <w:highlight w:val="none"/>
        </w:rPr>
        <w:t>3.5 资格审查资料</w:t>
      </w:r>
      <w:bookmarkEnd w:id="171"/>
      <w:bookmarkEnd w:id="172"/>
      <w:bookmarkEnd w:id="173"/>
      <w:bookmarkEnd w:id="174"/>
      <w:bookmarkEnd w:id="175"/>
      <w:bookmarkEnd w:id="176"/>
    </w:p>
    <w:p w14:paraId="0468BBCB">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3.5.1 资格审查材料包括：投标人营业执照或组织机构代码、资</w:t>
      </w:r>
      <w:r>
        <w:rPr>
          <w:rFonts w:hint="eastAsia" w:ascii="宋体" w:hAnsi="宋体" w:cs="宋体"/>
          <w:bCs/>
          <w:color w:val="auto"/>
          <w:sz w:val="22"/>
          <w:szCs w:val="22"/>
          <w:highlight w:val="none"/>
          <w:lang w:val="en-US" w:eastAsia="zh-CN"/>
        </w:rPr>
        <w:t>格</w:t>
      </w:r>
      <w:r>
        <w:rPr>
          <w:rFonts w:hint="eastAsia" w:ascii="宋体" w:hAnsi="宋体" w:cs="宋体"/>
          <w:bCs/>
          <w:color w:val="auto"/>
          <w:sz w:val="22"/>
          <w:szCs w:val="22"/>
          <w:highlight w:val="none"/>
        </w:rPr>
        <w:t>证书、投标保证金缴纳收据（如有），拟派服务人员证书等及投标人须知前附表第1.4.1项规定的其他材料，以上证书、证件须提供原件的复印件加盖单位章装订在投标文件中。</w:t>
      </w:r>
    </w:p>
    <w:p w14:paraId="2A7B0992">
      <w:pPr>
        <w:shd w:val="clear"/>
        <w:spacing w:line="360" w:lineRule="auto"/>
        <w:ind w:firstLine="440" w:firstLineChars="200"/>
        <w:rPr>
          <w:rFonts w:ascii="宋体" w:hAnsi="宋体" w:cs="宋体"/>
          <w:bCs/>
          <w:color w:val="auto"/>
          <w:sz w:val="22"/>
          <w:szCs w:val="22"/>
          <w:highlight w:val="none"/>
        </w:rPr>
      </w:pPr>
      <w:r>
        <w:rPr>
          <w:rFonts w:hint="eastAsia" w:ascii="宋体" w:hAnsi="宋体" w:cs="宋体"/>
          <w:bCs/>
          <w:color w:val="auto"/>
          <w:sz w:val="22"/>
          <w:szCs w:val="22"/>
          <w:highlight w:val="none"/>
        </w:rPr>
        <w:t>3.5.2 其它要求：其他投标人资格要求见</w:t>
      </w:r>
      <w:r>
        <w:rPr>
          <w:rFonts w:hint="eastAsia" w:ascii="宋体" w:hAnsi="宋体" w:cs="宋体"/>
          <w:color w:val="auto"/>
          <w:sz w:val="22"/>
          <w:szCs w:val="22"/>
          <w:highlight w:val="none"/>
        </w:rPr>
        <w:t>招标公告</w:t>
      </w:r>
      <w:r>
        <w:rPr>
          <w:rFonts w:hint="eastAsia" w:ascii="宋体" w:hAnsi="宋体" w:cs="宋体"/>
          <w:bCs/>
          <w:color w:val="auto"/>
          <w:sz w:val="22"/>
          <w:szCs w:val="22"/>
          <w:highlight w:val="none"/>
        </w:rPr>
        <w:t xml:space="preserve">。   </w:t>
      </w:r>
    </w:p>
    <w:p w14:paraId="42279E93">
      <w:pPr>
        <w:shd w:val="clear"/>
        <w:spacing w:line="360" w:lineRule="auto"/>
        <w:ind w:firstLine="440" w:firstLineChars="200"/>
        <w:outlineLvl w:val="2"/>
        <w:rPr>
          <w:rFonts w:ascii="宋体" w:hAnsi="宋体" w:cs="宋体"/>
          <w:b/>
          <w:bCs/>
          <w:color w:val="auto"/>
          <w:sz w:val="22"/>
          <w:szCs w:val="22"/>
          <w:highlight w:val="none"/>
        </w:rPr>
      </w:pPr>
      <w:bookmarkStart w:id="177" w:name="_Toc144974521"/>
      <w:bookmarkStart w:id="178" w:name="_Toc152042329"/>
      <w:bookmarkStart w:id="179" w:name="_Toc493081590"/>
      <w:bookmarkStart w:id="180" w:name="_Toc179632571"/>
      <w:bookmarkStart w:id="181" w:name="_Toc152045553"/>
      <w:bookmarkStart w:id="182" w:name="_Toc487461275"/>
      <w:r>
        <w:rPr>
          <w:rFonts w:hint="eastAsia" w:ascii="宋体" w:hAnsi="宋体" w:cs="宋体"/>
          <w:b/>
          <w:bCs/>
          <w:color w:val="auto"/>
          <w:sz w:val="22"/>
          <w:szCs w:val="22"/>
          <w:highlight w:val="none"/>
        </w:rPr>
        <w:t>3.6 备选投标方案</w:t>
      </w:r>
      <w:bookmarkEnd w:id="177"/>
      <w:bookmarkEnd w:id="178"/>
      <w:bookmarkEnd w:id="179"/>
      <w:bookmarkEnd w:id="180"/>
      <w:bookmarkEnd w:id="181"/>
      <w:bookmarkEnd w:id="182"/>
    </w:p>
    <w:p w14:paraId="5399FD6A">
      <w:pPr>
        <w:shd w:val="clear"/>
        <w:spacing w:line="360" w:lineRule="auto"/>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03D3BB76">
      <w:pPr>
        <w:pStyle w:val="14"/>
        <w:shd w:val="clear"/>
        <w:spacing w:line="360" w:lineRule="auto"/>
        <w:ind w:left="0" w:leftChars="0" w:firstLine="422"/>
        <w:rPr>
          <w:rFonts w:ascii="宋体" w:hAnsi="宋体" w:cs="宋体"/>
          <w:b/>
          <w:bCs/>
          <w:color w:val="auto"/>
          <w:sz w:val="22"/>
          <w:szCs w:val="22"/>
          <w:highlight w:val="none"/>
        </w:rPr>
      </w:pPr>
      <w:bookmarkStart w:id="183" w:name="_Toc152042338"/>
      <w:bookmarkStart w:id="184" w:name="_Toc178"/>
      <w:bookmarkStart w:id="185" w:name="_Toc493081599"/>
      <w:bookmarkStart w:id="186" w:name="_Toc487461285"/>
      <w:bookmarkStart w:id="187" w:name="_Toc487641636"/>
      <w:bookmarkStart w:id="188" w:name="_Toc179632580"/>
      <w:bookmarkStart w:id="189" w:name="_Toc144974530"/>
      <w:bookmarkStart w:id="190" w:name="_Toc1780"/>
      <w:bookmarkStart w:id="191" w:name="_Toc152045562"/>
      <w:r>
        <w:rPr>
          <w:rFonts w:hint="eastAsia" w:ascii="宋体" w:hAnsi="宋体" w:cs="宋体"/>
          <w:b/>
          <w:bCs/>
          <w:color w:val="auto"/>
          <w:sz w:val="22"/>
          <w:szCs w:val="22"/>
          <w:highlight w:val="none"/>
        </w:rPr>
        <w:t>3.7 投标文件的编制</w:t>
      </w:r>
    </w:p>
    <w:p w14:paraId="74BA6F81">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 xml:space="preserve">3.7.1 本项目要求提供电子投标文件，投标文件的制作应满足以下规定： </w:t>
      </w:r>
    </w:p>
    <w:p w14:paraId="2A27A5B3">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（1） 投标人必须按招标文件规定和上述主要内容编制投标文件。</w:t>
      </w:r>
    </w:p>
    <w:p w14:paraId="6342EB9F">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（2） 投标文件及投标人和项目招标人就招投标交换的文件和来往的信件应以中文书写。</w:t>
      </w:r>
    </w:p>
    <w:p w14:paraId="57DCB8A0">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（3） 因投标人自身原因而导致投标文件无法提交，该投标文件视为无效投标文件，投标人自行承担由此导致的全部责任。</w:t>
      </w:r>
    </w:p>
    <w:p w14:paraId="3C44316D">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（4） 投标人必须用黑墨水填写或打印投标文件及有关文件。凡属对招标文件条款的误解所造成的投标文件失误，由投标人自行负责；如投标人未按招标文件要求提供全部资料或提交的投标文件未对招标文件作出全面的基本响应，那么可能导致其投标被拒绝。</w:t>
      </w:r>
    </w:p>
    <w:p w14:paraId="5727FAFA">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（5） 投标文件要</w:t>
      </w:r>
      <w:r>
        <w:rPr>
          <w:rFonts w:hint="eastAsia" w:ascii="宋体" w:hAnsi="宋体" w:cs="宋体"/>
          <w:color w:val="auto"/>
          <w:sz w:val="22"/>
          <w:szCs w:val="22"/>
          <w:highlight w:val="none"/>
          <w:lang w:val="en-US" w:eastAsia="zh-CN"/>
        </w:rPr>
        <w:t>按照格式要求</w:t>
      </w:r>
      <w:r>
        <w:rPr>
          <w:rFonts w:hint="eastAsia" w:ascii="宋体" w:hAnsi="宋体" w:cs="宋体"/>
          <w:color w:val="auto"/>
          <w:sz w:val="22"/>
          <w:szCs w:val="22"/>
          <w:highlight w:val="none"/>
        </w:rPr>
        <w:t>加盖法人公章及法定代表人或其授权代表的印章，否则将被视为无效标。</w:t>
      </w:r>
    </w:p>
    <w:p w14:paraId="64A14F94">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 xml:space="preserve">）在第六章“投标文件格式”中要求盖投标人签章处，投标人均应加盖投标人签章。联合体投标的，除联合体协议及联合体各成员单位提供的本单位证明材料外，投标文件由联合体牵头人按上述规定加盖联合体牵头人单位签章或公章。 </w:t>
      </w:r>
    </w:p>
    <w:p w14:paraId="64A5B9B1">
      <w:pPr>
        <w:pStyle w:val="14"/>
        <w:shd w:val="clear"/>
        <w:spacing w:line="360" w:lineRule="auto"/>
        <w:rPr>
          <w:rFonts w:ascii="宋体" w:hAnsi="宋体" w:cs="宋体"/>
          <w:color w:val="auto"/>
          <w:sz w:val="22"/>
          <w:szCs w:val="22"/>
          <w:highlight w:val="none"/>
        </w:rPr>
      </w:pP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7</w:t>
      </w:r>
      <w:r>
        <w:rPr>
          <w:rFonts w:hint="eastAsia" w:ascii="宋体" w:hAnsi="宋体" w:cs="宋体"/>
          <w:color w:val="auto"/>
          <w:sz w:val="22"/>
          <w:szCs w:val="22"/>
          <w:highlight w:val="none"/>
        </w:rPr>
        <w:t>） 开标现场提交的其他材料要求详见投标人须知前附表。</w:t>
      </w:r>
    </w:p>
    <w:p w14:paraId="7C467481">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3.7.2投标文件应按第六章“投标文件格式”进行编写，如有必要，可以增加附页，作为投标文件的组成部分。</w:t>
      </w:r>
    </w:p>
    <w:p w14:paraId="2EFD15D5">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3.7.3 投标文件应当对招标文件有关服务期限、投标有效期、质量标准、招标范围等实质性内容作出响应。</w:t>
      </w:r>
    </w:p>
    <w:p w14:paraId="48D1C616">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 xml:space="preserve">3.7.4投标文件应用不褪色的材料书写或打印，并由投标人的法定代表人或其委托代理人签字或盖单位章。委托代理人签字的，投标文件应附法定代表人签署的授权委托书。投标文件应尽量避免涂改、行间插字或删除。如果出现上述情况，改动之处应加盖单位章或由投标人的法定代表人或其授权的代理人签字确认。 </w:t>
      </w:r>
    </w:p>
    <w:p w14:paraId="4A9C15EE">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3.7.5投标文件的内容：</w:t>
      </w:r>
    </w:p>
    <w:p w14:paraId="38744910">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投标函及附件、授权委托书、投标人企业简介</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人员配备</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服务方案</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其它材料</w:t>
      </w:r>
      <w:r>
        <w:rPr>
          <w:rFonts w:hint="eastAsia" w:ascii="宋体" w:hAnsi="宋体" w:cs="宋体"/>
          <w:color w:val="auto"/>
          <w:sz w:val="22"/>
          <w:szCs w:val="22"/>
          <w:highlight w:val="none"/>
          <w:lang w:val="en-US" w:eastAsia="zh-CN"/>
        </w:rPr>
        <w:t>等</w:t>
      </w:r>
      <w:r>
        <w:rPr>
          <w:rFonts w:hint="eastAsia" w:ascii="宋体" w:hAnsi="宋体" w:cs="宋体"/>
          <w:color w:val="auto"/>
          <w:sz w:val="22"/>
          <w:szCs w:val="22"/>
          <w:highlight w:val="none"/>
        </w:rPr>
        <w:t>。</w:t>
      </w:r>
    </w:p>
    <w:p w14:paraId="6374880D">
      <w:pPr>
        <w:pStyle w:val="14"/>
        <w:shd w:val="clear"/>
        <w:spacing w:line="360" w:lineRule="auto"/>
        <w:ind w:left="0" w:leftChars="0" w:firstLine="0" w:firstLineChars="0"/>
        <w:rPr>
          <w:rFonts w:ascii="宋体" w:hAnsi="宋体" w:cs="宋体"/>
          <w:b/>
          <w:bCs/>
          <w:color w:val="auto"/>
          <w:sz w:val="22"/>
          <w:szCs w:val="22"/>
          <w:highlight w:val="none"/>
        </w:rPr>
      </w:pPr>
      <w:r>
        <w:rPr>
          <w:rFonts w:hint="eastAsia" w:ascii="宋体" w:hAnsi="宋体" w:cs="宋体"/>
          <w:b/>
          <w:bCs/>
          <w:color w:val="auto"/>
          <w:sz w:val="22"/>
          <w:szCs w:val="22"/>
          <w:highlight w:val="none"/>
        </w:rPr>
        <w:t>4. 投标</w:t>
      </w:r>
    </w:p>
    <w:p w14:paraId="2DD5206C">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4.1  投标文件的递交</w:t>
      </w:r>
    </w:p>
    <w:p w14:paraId="5EB06413">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4.2.1投标人递交投标文件截止时间：见投标人须知前附表。</w:t>
      </w:r>
    </w:p>
    <w:p w14:paraId="0CCE485E">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4.2.2投标人递交投标文件的地点：见投标人须知前附表。</w:t>
      </w:r>
    </w:p>
    <w:p w14:paraId="72D2E89C">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4.2.3除投标人须知前附表另有规定外，投标人所递交的投标文件不予退还。</w:t>
      </w:r>
    </w:p>
    <w:p w14:paraId="5088A2D6">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4.2.4逾期送达的或者未送达指定地点的投标文件，招标人不予受理。</w:t>
      </w:r>
    </w:p>
    <w:p w14:paraId="43BB1634">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4.3 投标文件的修改与撤回</w:t>
      </w:r>
    </w:p>
    <w:p w14:paraId="177268AD">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4.3.1 投标人应当在第一章“招标公告”规定的投标截止时间前，将电子版的投标文件在规定时间内提交。</w:t>
      </w:r>
    </w:p>
    <w:p w14:paraId="3E5A95C6">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 xml:space="preserve">4.3.2 投标人应当在投标截止时间前完成投标文件的递交，并可以补充、修改或者撤回投标文件。投标截止时间前未完成投标文件递交的，视为撤回投标文件。在投标截止时间后送达的投标文件，招标人有权拒收。 </w:t>
      </w:r>
    </w:p>
    <w:p w14:paraId="1D8BCAA4">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 xml:space="preserve">4.3.3 投标人在投标人须知前附表规定的时间内完成电子投标文件的递交。 </w:t>
      </w:r>
    </w:p>
    <w:p w14:paraId="55AAB70A">
      <w:pPr>
        <w:pStyle w:val="14"/>
        <w:shd w:val="clear"/>
        <w:spacing w:line="360" w:lineRule="auto"/>
        <w:ind w:left="0" w:leftChars="0" w:firstLine="0" w:firstLineChars="0"/>
        <w:rPr>
          <w:rFonts w:ascii="宋体" w:hAnsi="宋体" w:cs="宋体"/>
          <w:b/>
          <w:bCs/>
          <w:color w:val="auto"/>
          <w:sz w:val="22"/>
          <w:szCs w:val="22"/>
          <w:highlight w:val="none"/>
        </w:rPr>
      </w:pPr>
      <w:r>
        <w:rPr>
          <w:rFonts w:hint="eastAsia" w:ascii="宋体" w:hAnsi="宋体" w:cs="宋体"/>
          <w:b/>
          <w:bCs/>
          <w:color w:val="auto"/>
          <w:sz w:val="22"/>
          <w:szCs w:val="22"/>
          <w:highlight w:val="none"/>
        </w:rPr>
        <w:t>5. 开标</w:t>
      </w:r>
    </w:p>
    <w:p w14:paraId="7718C09B">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5.1 开标时间和地点</w:t>
      </w:r>
    </w:p>
    <w:p w14:paraId="16BFF609">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 xml:space="preserve">5.1.1 招标人和招标代理机构将按投标人须知前附表中规定的开标时间和地点组织公开开标。 </w:t>
      </w:r>
    </w:p>
    <w:p w14:paraId="6285DB84">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 xml:space="preserve">5.1.2 开标时，招标人或招标代理机构将对开标过程进行记录（包括投标人名称、招标文件规定的内容），由参加开标的相关工作人员签字确认，并存档备查。  </w:t>
      </w:r>
    </w:p>
    <w:p w14:paraId="1B4435E2">
      <w:pPr>
        <w:pStyle w:val="14"/>
        <w:shd w:val="clear"/>
        <w:spacing w:line="360" w:lineRule="auto"/>
        <w:ind w:left="0" w:leftChars="0"/>
        <w:rPr>
          <w:rFonts w:ascii="宋体" w:hAnsi="宋体" w:cs="宋体"/>
          <w:color w:val="auto"/>
          <w:sz w:val="22"/>
          <w:szCs w:val="22"/>
          <w:highlight w:val="none"/>
        </w:rPr>
      </w:pPr>
      <w:r>
        <w:rPr>
          <w:rFonts w:hint="eastAsia" w:ascii="宋体" w:hAnsi="宋体" w:cs="宋体"/>
          <w:color w:val="auto"/>
          <w:sz w:val="22"/>
          <w:szCs w:val="22"/>
          <w:highlight w:val="none"/>
        </w:rPr>
        <w:t>5.1.3 投标人代表对开标记录有疑义，应当场</w:t>
      </w:r>
      <w:r>
        <w:rPr>
          <w:rFonts w:hint="eastAsia" w:ascii="宋体" w:hAnsi="宋体" w:cs="宋体"/>
          <w:color w:val="auto"/>
          <w:sz w:val="22"/>
          <w:szCs w:val="22"/>
          <w:highlight w:val="none"/>
          <w:lang w:val="en-US" w:eastAsia="zh-CN"/>
        </w:rPr>
        <w:t>通过邮箱</w:t>
      </w:r>
      <w:r>
        <w:rPr>
          <w:rFonts w:hint="eastAsia" w:ascii="宋体" w:hAnsi="宋体" w:cs="宋体"/>
          <w:color w:val="auto"/>
          <w:sz w:val="22"/>
          <w:szCs w:val="22"/>
          <w:highlight w:val="none"/>
        </w:rPr>
        <w:t xml:space="preserve">提出询问。 </w:t>
      </w:r>
    </w:p>
    <w:p w14:paraId="2C499199">
      <w:pPr>
        <w:pageBreakBefore w:val="0"/>
        <w:widowControl w:val="0"/>
        <w:shd w:val="clear"/>
        <w:kinsoku/>
        <w:wordWrap/>
        <w:overflowPunct/>
        <w:topLinePunct w:val="0"/>
        <w:autoSpaceDE/>
        <w:autoSpaceDN/>
        <w:bidi w:val="0"/>
        <w:adjustRightInd/>
        <w:spacing w:line="360" w:lineRule="auto"/>
        <w:textAlignment w:val="auto"/>
        <w:outlineLvl w:val="1"/>
        <w:rPr>
          <w:rFonts w:ascii="宋体" w:hAnsi="宋体" w:cs="宋体"/>
          <w:b/>
          <w:bCs/>
          <w:color w:val="auto"/>
          <w:sz w:val="22"/>
          <w:szCs w:val="22"/>
          <w:highlight w:val="none"/>
        </w:rPr>
      </w:pPr>
      <w:r>
        <w:rPr>
          <w:rFonts w:hint="eastAsia" w:ascii="宋体" w:hAnsi="宋体" w:cs="宋体"/>
          <w:b/>
          <w:bCs/>
          <w:color w:val="auto"/>
          <w:sz w:val="22"/>
          <w:szCs w:val="22"/>
          <w:highlight w:val="none"/>
        </w:rPr>
        <w:t>6. 评标</w:t>
      </w:r>
      <w:bookmarkEnd w:id="183"/>
      <w:bookmarkEnd w:id="184"/>
      <w:bookmarkEnd w:id="185"/>
      <w:bookmarkEnd w:id="186"/>
      <w:bookmarkEnd w:id="187"/>
      <w:bookmarkEnd w:id="188"/>
      <w:bookmarkEnd w:id="189"/>
      <w:bookmarkEnd w:id="190"/>
      <w:bookmarkEnd w:id="191"/>
    </w:p>
    <w:p w14:paraId="6FCA9065">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192" w:name="_Toc179632581"/>
      <w:bookmarkStart w:id="193" w:name="_Toc144974531"/>
      <w:bookmarkStart w:id="194" w:name="_Toc152045563"/>
      <w:bookmarkStart w:id="195" w:name="_Toc152042339"/>
      <w:bookmarkStart w:id="196" w:name="_Toc487461286"/>
      <w:bookmarkStart w:id="197" w:name="_Toc493081600"/>
      <w:r>
        <w:rPr>
          <w:rFonts w:hint="eastAsia" w:ascii="宋体" w:hAnsi="宋体" w:cs="宋体"/>
          <w:b/>
          <w:bCs/>
          <w:color w:val="auto"/>
          <w:sz w:val="22"/>
          <w:szCs w:val="22"/>
          <w:highlight w:val="none"/>
        </w:rPr>
        <w:t>6.1 评标委员会</w:t>
      </w:r>
      <w:bookmarkEnd w:id="192"/>
      <w:bookmarkEnd w:id="193"/>
      <w:bookmarkEnd w:id="194"/>
      <w:bookmarkEnd w:id="195"/>
      <w:bookmarkEnd w:id="196"/>
      <w:bookmarkEnd w:id="197"/>
    </w:p>
    <w:p w14:paraId="0DF3684D">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6.1.1评标由招标人依法组建，人数见须知前附表</w:t>
      </w:r>
      <w:r>
        <w:rPr>
          <w:rFonts w:hint="eastAsia" w:ascii="宋体" w:hAnsi="宋体" w:cs="宋体"/>
          <w:color w:val="auto"/>
          <w:sz w:val="22"/>
          <w:szCs w:val="22"/>
          <w:highlight w:val="none"/>
          <w:lang w:eastAsia="zh-CN"/>
        </w:rPr>
        <w:t>；</w:t>
      </w:r>
    </w:p>
    <w:p w14:paraId="67E043D1">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6.1.2评标委员会成员有下列情形之一的，应当回避：</w:t>
      </w:r>
    </w:p>
    <w:p w14:paraId="31CE5199">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（1）招标人或投标人的主要负责人的近亲属；</w:t>
      </w:r>
    </w:p>
    <w:p w14:paraId="0645A302">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（2）项目主管部门或者行政监督部门的人员；</w:t>
      </w:r>
    </w:p>
    <w:p w14:paraId="5986E4D8">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（3）与投标人有经济利益关系，可能影响对投标公正评审的；</w:t>
      </w:r>
    </w:p>
    <w:p w14:paraId="6FEFBD8F">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（4）曾因在招标、评标以及其他与招标投标有关活动中从事违法行为而受过行政处罚或刑事处罚的。</w:t>
      </w:r>
    </w:p>
    <w:p w14:paraId="0C14641F">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198" w:name="_Toc144974532"/>
      <w:bookmarkStart w:id="199" w:name="_Toc179632582"/>
      <w:bookmarkStart w:id="200" w:name="_Toc152042340"/>
      <w:bookmarkStart w:id="201" w:name="_Toc487461287"/>
      <w:bookmarkStart w:id="202" w:name="_Toc152045564"/>
      <w:bookmarkStart w:id="203" w:name="_Toc493081601"/>
      <w:r>
        <w:rPr>
          <w:rFonts w:hint="eastAsia" w:ascii="宋体" w:hAnsi="宋体" w:cs="宋体"/>
          <w:b/>
          <w:bCs/>
          <w:color w:val="auto"/>
          <w:sz w:val="22"/>
          <w:szCs w:val="22"/>
          <w:highlight w:val="none"/>
        </w:rPr>
        <w:t>6.2 评标原则</w:t>
      </w:r>
      <w:bookmarkEnd w:id="198"/>
      <w:bookmarkEnd w:id="199"/>
      <w:bookmarkEnd w:id="200"/>
      <w:bookmarkEnd w:id="201"/>
      <w:bookmarkEnd w:id="202"/>
      <w:bookmarkEnd w:id="203"/>
    </w:p>
    <w:p w14:paraId="64B69C6D">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rPr>
        <w:t>评标活动遵循公平、公正、科学和择优的原则</w:t>
      </w:r>
      <w:bookmarkStart w:id="204" w:name="_Toc152042341"/>
      <w:bookmarkStart w:id="205" w:name="_Toc179632583"/>
      <w:bookmarkStart w:id="206" w:name="_Toc152045565"/>
      <w:bookmarkStart w:id="207" w:name="_Toc144974533"/>
      <w:r>
        <w:rPr>
          <w:rFonts w:hint="eastAsia" w:ascii="宋体" w:hAnsi="宋体" w:cs="宋体"/>
          <w:color w:val="auto"/>
          <w:sz w:val="22"/>
          <w:szCs w:val="22"/>
          <w:highlight w:val="none"/>
          <w:lang w:eastAsia="zh-CN"/>
        </w:rPr>
        <w:t>。</w:t>
      </w:r>
    </w:p>
    <w:p w14:paraId="0218A2A6">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08" w:name="_Toc487461288"/>
      <w:bookmarkStart w:id="209" w:name="_Toc493081602"/>
      <w:r>
        <w:rPr>
          <w:rFonts w:hint="eastAsia" w:ascii="宋体" w:hAnsi="宋体" w:cs="宋体"/>
          <w:b/>
          <w:bCs/>
          <w:color w:val="auto"/>
          <w:sz w:val="22"/>
          <w:szCs w:val="22"/>
          <w:highlight w:val="none"/>
        </w:rPr>
        <w:t>6.3 评标</w:t>
      </w:r>
      <w:bookmarkEnd w:id="204"/>
      <w:bookmarkEnd w:id="205"/>
      <w:bookmarkEnd w:id="206"/>
      <w:bookmarkEnd w:id="207"/>
      <w:bookmarkEnd w:id="208"/>
      <w:bookmarkEnd w:id="209"/>
    </w:p>
    <w:p w14:paraId="486D2E06">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评标委员会按照第三章“评标办法”规定的方法、评审因素、标准和程序对投标文件进行评审。第三章“评标办法”没有规定的方法、评审因素和标准，不作为评标依据。</w:t>
      </w:r>
      <w:bookmarkStart w:id="210" w:name="_Toc152042342"/>
      <w:bookmarkStart w:id="211" w:name="_Toc30005"/>
      <w:bookmarkStart w:id="212" w:name="_Toc179632584"/>
      <w:bookmarkStart w:id="213" w:name="_Toc144974534"/>
      <w:bookmarkStart w:id="214" w:name="_Toc18941"/>
      <w:bookmarkStart w:id="215" w:name="_Toc152045566"/>
    </w:p>
    <w:p w14:paraId="5D369DFD">
      <w:pPr>
        <w:pageBreakBefore w:val="0"/>
        <w:widowControl w:val="0"/>
        <w:shd w:val="clear"/>
        <w:kinsoku/>
        <w:wordWrap/>
        <w:overflowPunct/>
        <w:topLinePunct w:val="0"/>
        <w:autoSpaceDE/>
        <w:autoSpaceDN/>
        <w:bidi w:val="0"/>
        <w:adjustRightInd/>
        <w:spacing w:line="360" w:lineRule="auto"/>
        <w:textAlignment w:val="auto"/>
        <w:outlineLvl w:val="1"/>
        <w:rPr>
          <w:rFonts w:ascii="宋体" w:hAnsi="宋体" w:cs="宋体"/>
          <w:b/>
          <w:bCs/>
          <w:color w:val="auto"/>
          <w:sz w:val="22"/>
          <w:szCs w:val="22"/>
          <w:highlight w:val="none"/>
        </w:rPr>
      </w:pPr>
      <w:bookmarkStart w:id="216" w:name="_Toc493081603"/>
      <w:bookmarkStart w:id="217" w:name="_Toc487641637"/>
      <w:bookmarkStart w:id="218" w:name="_Toc487461289"/>
      <w:r>
        <w:rPr>
          <w:rFonts w:hint="eastAsia" w:ascii="宋体" w:hAnsi="宋体" w:cs="宋体"/>
          <w:b/>
          <w:bCs/>
          <w:color w:val="auto"/>
          <w:sz w:val="22"/>
          <w:szCs w:val="22"/>
          <w:highlight w:val="none"/>
        </w:rPr>
        <w:t>7. 合同授予</w:t>
      </w:r>
      <w:bookmarkEnd w:id="216"/>
      <w:bookmarkEnd w:id="217"/>
    </w:p>
    <w:bookmarkEnd w:id="210"/>
    <w:bookmarkEnd w:id="211"/>
    <w:bookmarkEnd w:id="212"/>
    <w:bookmarkEnd w:id="213"/>
    <w:bookmarkEnd w:id="214"/>
    <w:bookmarkEnd w:id="215"/>
    <w:bookmarkEnd w:id="218"/>
    <w:p w14:paraId="625F1DA6">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19" w:name="_Toc144974535"/>
      <w:bookmarkStart w:id="220" w:name="_Toc179632585"/>
      <w:bookmarkStart w:id="221" w:name="_Toc152045567"/>
      <w:bookmarkStart w:id="222" w:name="_Toc152042343"/>
      <w:bookmarkStart w:id="223" w:name="_Toc487461290"/>
      <w:bookmarkStart w:id="224" w:name="_Toc493081604"/>
      <w:r>
        <w:rPr>
          <w:rFonts w:hint="eastAsia" w:ascii="宋体" w:hAnsi="宋体" w:cs="宋体"/>
          <w:b/>
          <w:bCs/>
          <w:color w:val="auto"/>
          <w:sz w:val="22"/>
          <w:szCs w:val="22"/>
          <w:highlight w:val="none"/>
        </w:rPr>
        <w:t>7.1 定标方式</w:t>
      </w:r>
      <w:bookmarkEnd w:id="219"/>
      <w:bookmarkEnd w:id="220"/>
      <w:bookmarkEnd w:id="221"/>
      <w:bookmarkEnd w:id="222"/>
      <w:bookmarkEnd w:id="223"/>
      <w:bookmarkEnd w:id="224"/>
      <w:bookmarkStart w:id="225" w:name="_Toc179632586"/>
      <w:bookmarkStart w:id="226" w:name="_Toc152045568"/>
      <w:bookmarkStart w:id="227" w:name="_Toc152042344"/>
      <w:bookmarkStart w:id="228" w:name="_Toc144974536"/>
    </w:p>
    <w:p w14:paraId="37EA4DE1">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7.1.1除投标人须知前附表规定评标委员会直接确定中标人外，评标委员会依照</w:t>
      </w:r>
      <w:r>
        <w:rPr>
          <w:rFonts w:hint="eastAsia" w:ascii="宋体" w:hAnsi="宋体" w:cs="宋体"/>
          <w:b/>
          <w:bCs/>
          <w:color w:val="auto"/>
          <w:sz w:val="22"/>
          <w:szCs w:val="22"/>
          <w:highlight w:val="none"/>
        </w:rPr>
        <w:t>通过初步评审后的投标人综合评审得分排名，推荐</w:t>
      </w:r>
      <w:r>
        <w:rPr>
          <w:rFonts w:hint="default" w:ascii="宋体" w:hAnsi="宋体" w:cs="宋体"/>
          <w:b/>
          <w:bCs/>
          <w:color w:val="auto"/>
          <w:sz w:val="22"/>
          <w:szCs w:val="22"/>
          <w:highlight w:val="none"/>
          <w:lang w:val="en-US" w:eastAsia="zh-CN"/>
        </w:rPr>
        <w:t>2</w:t>
      </w:r>
      <w:r>
        <w:rPr>
          <w:rFonts w:hint="eastAsia" w:ascii="宋体" w:hAnsi="宋体" w:cs="宋体"/>
          <w:b/>
          <w:bCs/>
          <w:color w:val="auto"/>
          <w:sz w:val="22"/>
          <w:szCs w:val="22"/>
          <w:highlight w:val="none"/>
          <w:lang w:val="en-US" w:eastAsia="zh-CN"/>
        </w:rPr>
        <w:t>-5</w:t>
      </w:r>
      <w:r>
        <w:rPr>
          <w:rFonts w:hint="eastAsia" w:ascii="宋体" w:hAnsi="宋体" w:cs="宋体"/>
          <w:b/>
          <w:bCs/>
          <w:color w:val="auto"/>
          <w:sz w:val="22"/>
          <w:szCs w:val="22"/>
          <w:highlight w:val="none"/>
        </w:rPr>
        <w:t>名中标候选人。</w:t>
      </w:r>
      <w:r>
        <w:rPr>
          <w:rFonts w:hint="eastAsia" w:ascii="宋体" w:hAnsi="宋体" w:cs="宋体"/>
          <w:color w:val="auto"/>
          <w:sz w:val="22"/>
          <w:szCs w:val="22"/>
          <w:highlight w:val="none"/>
        </w:rPr>
        <w:t>排名前</w:t>
      </w:r>
      <w:r>
        <w:rPr>
          <w:rFonts w:hint="eastAsia" w:ascii="宋体" w:hAnsi="宋体" w:cs="宋体"/>
          <w:color w:val="auto"/>
          <w:sz w:val="22"/>
          <w:szCs w:val="22"/>
          <w:highlight w:val="none"/>
          <w:lang w:val="en-US" w:eastAsia="zh-CN"/>
        </w:rPr>
        <w:t>三</w:t>
      </w:r>
      <w:r>
        <w:rPr>
          <w:rFonts w:hint="eastAsia" w:ascii="宋体" w:hAnsi="宋体" w:cs="宋体"/>
          <w:color w:val="auto"/>
          <w:sz w:val="22"/>
          <w:szCs w:val="22"/>
          <w:highlight w:val="none"/>
        </w:rPr>
        <w:t>名的中标候选人为中标人，排名前</w:t>
      </w:r>
      <w:r>
        <w:rPr>
          <w:rFonts w:hint="eastAsia" w:ascii="宋体" w:hAnsi="宋体" w:cs="宋体"/>
          <w:color w:val="auto"/>
          <w:sz w:val="22"/>
          <w:szCs w:val="22"/>
          <w:highlight w:val="none"/>
          <w:lang w:val="en-US" w:eastAsia="zh-CN"/>
        </w:rPr>
        <w:t>三</w:t>
      </w:r>
      <w:r>
        <w:rPr>
          <w:rFonts w:hint="eastAsia" w:ascii="宋体" w:hAnsi="宋体" w:cs="宋体"/>
          <w:color w:val="auto"/>
          <w:sz w:val="22"/>
          <w:szCs w:val="22"/>
          <w:highlight w:val="none"/>
        </w:rPr>
        <w:t>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评标委员会推荐中标候选人的人数见投标人须知前附表。</w:t>
      </w:r>
    </w:p>
    <w:p w14:paraId="5E83ECA5">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7.1.2信用要求</w:t>
      </w:r>
    </w:p>
    <w:p w14:paraId="68B6D604">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bookmarkStart w:id="229" w:name="_Toc493081605"/>
      <w:bookmarkStart w:id="230" w:name="_Toc487461291"/>
      <w:r>
        <w:rPr>
          <w:rFonts w:hint="eastAsia" w:ascii="宋体" w:hAnsi="宋体" w:cs="宋体"/>
          <w:color w:val="auto"/>
          <w:sz w:val="22"/>
          <w:szCs w:val="22"/>
          <w:highlight w:val="none"/>
        </w:rPr>
        <w:t>投标人存在以下不良信用记录情形之一的，不得推荐为中标候选投标人，不得确定为入库单位：</w:t>
      </w:r>
    </w:p>
    <w:p w14:paraId="300D6724">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strike/>
          <w:color w:val="auto"/>
          <w:sz w:val="22"/>
          <w:szCs w:val="22"/>
          <w:highlight w:val="none"/>
        </w:rPr>
      </w:pPr>
      <w:r>
        <w:rPr>
          <w:rFonts w:hint="eastAsia" w:ascii="宋体" w:hAnsi="宋体" w:cs="宋体"/>
          <w:color w:val="auto"/>
          <w:sz w:val="22"/>
          <w:szCs w:val="22"/>
          <w:highlight w:val="none"/>
        </w:rPr>
        <w:t>(1）投标人被人民法院列入失信被执行人的；</w:t>
      </w:r>
    </w:p>
    <w:p w14:paraId="72E9FCE6">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(2）投标人被工商行政管理部门列入企业经营异常名录的；</w:t>
      </w:r>
    </w:p>
    <w:p w14:paraId="02D1A257">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(3）投标人被税务部门列入重大税收违法案件当事人名单的；</w:t>
      </w:r>
    </w:p>
    <w:p w14:paraId="5CF5391E">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(4）投标人被政府采购监管部门列入政府采购严重违法失信行为记录名单的。</w:t>
      </w:r>
    </w:p>
    <w:p w14:paraId="376C7FF3">
      <w:pPr>
        <w:pageBreakBefore w:val="0"/>
        <w:widowControl w:val="0"/>
        <w:shd w:val="clear"/>
        <w:kinsoku/>
        <w:wordWrap/>
        <w:overflowPunct/>
        <w:topLinePunct w:val="0"/>
        <w:autoSpaceDE/>
        <w:autoSpaceDN/>
        <w:bidi w:val="0"/>
        <w:adjustRightInd/>
        <w:spacing w:after="120" w:line="360" w:lineRule="auto"/>
        <w:textAlignment w:val="auto"/>
        <w:rPr>
          <w:rFonts w:ascii="宋体" w:hAnsi="宋体" w:cs="宋体"/>
          <w:color w:val="auto"/>
          <w:sz w:val="22"/>
          <w:szCs w:val="22"/>
          <w:highlight w:val="none"/>
        </w:rPr>
      </w:pPr>
      <w:r>
        <w:rPr>
          <w:rFonts w:hint="eastAsia" w:ascii="宋体" w:hAnsi="宋体" w:cs="宋体"/>
          <w:color w:val="auto"/>
          <w:sz w:val="22"/>
          <w:szCs w:val="22"/>
          <w:highlight w:val="none"/>
        </w:rPr>
        <w:t xml:space="preserve">   </w:t>
      </w:r>
      <w:r>
        <w:rPr>
          <w:rFonts w:hint="eastAsia" w:ascii="宋体" w:hAnsi="宋体" w:cs="宋体"/>
          <w:b/>
          <w:bCs/>
          <w:color w:val="auto"/>
          <w:sz w:val="22"/>
          <w:szCs w:val="22"/>
          <w:highlight w:val="none"/>
        </w:rPr>
        <w:t xml:space="preserve"> 注：招标人有权后期对各入库单位信用信息进行查证，如发现存在上述情形之一的，有权取消其入库资格，并按中标候选人顺序进行资格顺延。</w:t>
      </w:r>
    </w:p>
    <w:p w14:paraId="3836B9AD">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r>
        <w:rPr>
          <w:rFonts w:hint="eastAsia" w:ascii="宋体" w:hAnsi="宋体" w:cs="宋体"/>
          <w:b/>
          <w:bCs/>
          <w:color w:val="auto"/>
          <w:sz w:val="22"/>
          <w:szCs w:val="22"/>
          <w:highlight w:val="none"/>
        </w:rPr>
        <w:t>7.2 中标候选人公示、中标通知</w:t>
      </w:r>
      <w:bookmarkEnd w:id="225"/>
      <w:bookmarkEnd w:id="226"/>
      <w:bookmarkEnd w:id="227"/>
      <w:bookmarkEnd w:id="228"/>
      <w:bookmarkEnd w:id="229"/>
      <w:bookmarkEnd w:id="230"/>
    </w:p>
    <w:p w14:paraId="4A42B715">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7.2.1 招标人在投标人须知前附表规定的媒介公示中标候选人，公示时间不少于</w:t>
      </w: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日。</w:t>
      </w:r>
    </w:p>
    <w:p w14:paraId="721166C5">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7.2.2 投标人或者其他利害关系人对评标结果有异议的，应当在中标候选人公示期间提出。招标人将在收到异议之日起 3 日内作出答复；作出答复前，将暂停招标投标活动。</w:t>
      </w:r>
    </w:p>
    <w:p w14:paraId="4B074D36">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7.2.3在本章第 3.2.3 款规定的投标有效期内，招标人以书面形式向中标人发出中标通知书，同时将中标结果通知未中标的投标人。</w:t>
      </w:r>
    </w:p>
    <w:p w14:paraId="29B12732">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7.</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rPr>
        <w:t>在签订合同前，中标人应按投标人须知前附表规定的担保形式和招标文件第四章“合同条款及格式”规定的或者事先经过招标人书面认可的担保格式向招标人提交。联合体中标的，其担保由牵头人递交，并应符合投标人须知前附表规定的金额、担保形式和招标文件第四章“合同条款及格式”规定的担保格式要求。</w:t>
      </w:r>
    </w:p>
    <w:p w14:paraId="42B42545">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7.</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中标人不能按本章第7.</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项要求提交担保的，视为放弃中标，其投标保证金不予退还，给招标人造成的损失超过投标保证金数额的，中标人还应当对超过部分予以赔偿。</w:t>
      </w:r>
    </w:p>
    <w:p w14:paraId="72E2D456">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31" w:name="_Toc152042346"/>
      <w:bookmarkStart w:id="232" w:name="_Toc487461293"/>
      <w:bookmarkStart w:id="233" w:name="_Toc144974538"/>
      <w:bookmarkStart w:id="234" w:name="_Toc493081607"/>
      <w:bookmarkStart w:id="235" w:name="_Toc179632588"/>
      <w:bookmarkStart w:id="236" w:name="_Toc152045570"/>
      <w:r>
        <w:rPr>
          <w:rFonts w:hint="eastAsia" w:ascii="宋体" w:hAnsi="宋体" w:cs="宋体"/>
          <w:b/>
          <w:bCs/>
          <w:color w:val="auto"/>
          <w:sz w:val="22"/>
          <w:szCs w:val="22"/>
          <w:highlight w:val="none"/>
        </w:rPr>
        <w:t>7.4 签订合同</w:t>
      </w:r>
      <w:bookmarkEnd w:id="231"/>
      <w:bookmarkEnd w:id="232"/>
      <w:bookmarkEnd w:id="233"/>
      <w:bookmarkEnd w:id="234"/>
      <w:bookmarkEnd w:id="235"/>
      <w:bookmarkEnd w:id="236"/>
    </w:p>
    <w:p w14:paraId="196C99C8">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 xml:space="preserve">7.4.1招标人和中标人应当自中标通知书发出之日起30日内，严格按照招标文件和中标人的投标文件订立书面合同。中标人无正当理由拒签合同的，招标人取消其中标资格，其投标投标保证金不予退还；给招标人造成的损失超过投标保证金数额的，中标人还应当对超过部分予以赔偿； </w:t>
      </w:r>
    </w:p>
    <w:p w14:paraId="340C53FD">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7.4.2 发出中标通知书后，招标人无正当理由拒签合同的，招标人向中标人退还投标保证金。</w:t>
      </w:r>
    </w:p>
    <w:p w14:paraId="28A02E8F">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r>
        <w:rPr>
          <w:rFonts w:hint="eastAsia" w:ascii="宋体" w:hAnsi="宋体" w:cs="宋体"/>
          <w:b/>
          <w:bCs/>
          <w:color w:val="auto"/>
          <w:sz w:val="22"/>
          <w:szCs w:val="22"/>
          <w:highlight w:val="none"/>
        </w:rPr>
        <w:t>7.5服务项目分配方法：</w:t>
      </w:r>
    </w:p>
    <w:p w14:paraId="1CDF2E6B">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hint="eastAsia" w:ascii="宋体" w:hAnsi="宋体" w:cs="宋体"/>
          <w:b/>
          <w:bCs/>
          <w:color w:val="auto"/>
          <w:sz w:val="22"/>
          <w:szCs w:val="22"/>
          <w:highlight w:val="none"/>
        </w:rPr>
      </w:pPr>
      <w:bookmarkStart w:id="237" w:name="_Toc152042347"/>
      <w:bookmarkStart w:id="238" w:name="_Toc487461294"/>
      <w:bookmarkStart w:id="239" w:name="_Toc152045571"/>
      <w:bookmarkStart w:id="240" w:name="_Toc144974539"/>
      <w:bookmarkStart w:id="241" w:name="_Toc487641638"/>
      <w:bookmarkStart w:id="242" w:name="_Toc179632589"/>
      <w:bookmarkStart w:id="243" w:name="_Toc1092"/>
      <w:bookmarkStart w:id="244" w:name="_Toc18349"/>
      <w:bookmarkStart w:id="245" w:name="_Toc493081608"/>
      <w:r>
        <w:rPr>
          <w:rFonts w:hint="eastAsia" w:ascii="宋体" w:hAnsi="宋体" w:cs="宋体"/>
          <w:b/>
          <w:bCs/>
          <w:color w:val="auto"/>
          <w:sz w:val="22"/>
          <w:szCs w:val="22"/>
          <w:highlight w:val="none"/>
          <w:lang w:val="en-US" w:eastAsia="zh-CN"/>
        </w:rPr>
        <w:t>7.5.</w:t>
      </w:r>
      <w:r>
        <w:rPr>
          <w:rFonts w:hint="eastAsia" w:ascii="宋体" w:hAnsi="宋体" w:cs="宋体"/>
          <w:b/>
          <w:bCs/>
          <w:color w:val="auto"/>
          <w:sz w:val="22"/>
          <w:szCs w:val="22"/>
          <w:highlight w:val="none"/>
        </w:rPr>
        <w:t>1需选取中介机构的需求部门、各所属子公司按委托事项的内容、目的和要求，填写《入库中介机构选择业务申请表》</w:t>
      </w:r>
      <w:r>
        <w:rPr>
          <w:rFonts w:hint="eastAsia" w:ascii="宋体" w:hAnsi="宋体" w:cs="宋体"/>
          <w:b/>
          <w:bCs/>
          <w:color w:val="auto"/>
          <w:sz w:val="22"/>
          <w:szCs w:val="22"/>
          <w:highlight w:val="none"/>
          <w:lang w:eastAsia="zh-CN"/>
        </w:rPr>
        <w:t>并报送选取部门</w:t>
      </w:r>
      <w:r>
        <w:rPr>
          <w:rFonts w:hint="eastAsia" w:ascii="宋体" w:hAnsi="宋体" w:cs="宋体"/>
          <w:b/>
          <w:bCs/>
          <w:color w:val="auto"/>
          <w:sz w:val="22"/>
          <w:szCs w:val="22"/>
          <w:highlight w:val="none"/>
        </w:rPr>
        <w:t>。</w:t>
      </w:r>
    </w:p>
    <w:p w14:paraId="5A1C3BC1">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hint="eastAsia"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7.5.</w:t>
      </w:r>
      <w:r>
        <w:rPr>
          <w:rFonts w:hint="eastAsia" w:ascii="宋体" w:hAnsi="宋体" w:cs="宋体"/>
          <w:b/>
          <w:bCs/>
          <w:color w:val="auto"/>
          <w:sz w:val="22"/>
          <w:szCs w:val="22"/>
          <w:highlight w:val="none"/>
        </w:rPr>
        <w:t>2</w:t>
      </w:r>
      <w:r>
        <w:rPr>
          <w:rFonts w:hint="eastAsia" w:ascii="宋体" w:hAnsi="宋体" w:cs="宋体"/>
          <w:b/>
          <w:bCs/>
          <w:color w:val="auto"/>
          <w:sz w:val="22"/>
          <w:szCs w:val="22"/>
          <w:highlight w:val="none"/>
          <w:lang w:eastAsia="zh-CN"/>
        </w:rPr>
        <w:t>选取部门</w:t>
      </w:r>
      <w:r>
        <w:rPr>
          <w:rFonts w:hint="eastAsia" w:ascii="宋体" w:hAnsi="宋体" w:cs="宋体"/>
          <w:b/>
          <w:bCs/>
          <w:color w:val="auto"/>
          <w:sz w:val="22"/>
          <w:szCs w:val="22"/>
          <w:highlight w:val="none"/>
        </w:rPr>
        <w:t>收到入库中介机构选择业务申请表后，通过询价或抽取的方式确定最后中标单位。</w:t>
      </w:r>
    </w:p>
    <w:p w14:paraId="7018FB23">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hint="eastAsia"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7.5.</w:t>
      </w:r>
      <w:r>
        <w:rPr>
          <w:rFonts w:hint="eastAsia" w:ascii="宋体" w:hAnsi="宋体" w:cs="宋体"/>
          <w:b/>
          <w:bCs/>
          <w:color w:val="auto"/>
          <w:sz w:val="22"/>
          <w:szCs w:val="22"/>
          <w:highlight w:val="none"/>
        </w:rPr>
        <w:t>3通知选中的中介机构，由申请部门或所属子公司办理与中介机构签订委托协议事宜，明确中介服务项目的范围、完成时间、质量要求、费用、双方责任义务等。</w:t>
      </w:r>
    </w:p>
    <w:p w14:paraId="31BDC970">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7.5.</w:t>
      </w:r>
      <w:r>
        <w:rPr>
          <w:rFonts w:hint="eastAsia" w:ascii="宋体" w:hAnsi="宋体" w:cs="宋体"/>
          <w:b/>
          <w:bCs/>
          <w:color w:val="auto"/>
          <w:sz w:val="22"/>
          <w:szCs w:val="22"/>
          <w:highlight w:val="none"/>
        </w:rPr>
        <w:t>4特别说明：公司不保证入库单位年度及服务期限内最低服务项目数量。</w:t>
      </w:r>
    </w:p>
    <w:p w14:paraId="109D828F">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ascii="宋体" w:hAnsi="宋体" w:cs="宋体"/>
          <w:b/>
          <w:bCs/>
          <w:color w:val="auto"/>
          <w:sz w:val="22"/>
          <w:szCs w:val="22"/>
          <w:highlight w:val="none"/>
        </w:rPr>
      </w:pPr>
      <w:r>
        <w:rPr>
          <w:rFonts w:hint="eastAsia" w:ascii="宋体" w:hAnsi="宋体" w:cs="宋体"/>
          <w:b/>
          <w:bCs/>
          <w:color w:val="auto"/>
          <w:sz w:val="22"/>
          <w:szCs w:val="22"/>
          <w:highlight w:val="none"/>
        </w:rPr>
        <w:t xml:space="preserve">8. </w:t>
      </w:r>
      <w:bookmarkEnd w:id="237"/>
      <w:bookmarkEnd w:id="238"/>
      <w:bookmarkEnd w:id="239"/>
      <w:bookmarkEnd w:id="240"/>
      <w:bookmarkEnd w:id="241"/>
      <w:bookmarkEnd w:id="242"/>
      <w:bookmarkEnd w:id="243"/>
      <w:bookmarkEnd w:id="244"/>
      <w:bookmarkEnd w:id="245"/>
      <w:r>
        <w:rPr>
          <w:rFonts w:hint="eastAsia" w:ascii="宋体" w:hAnsi="宋体" w:cs="宋体"/>
          <w:b/>
          <w:bCs/>
          <w:color w:val="auto"/>
          <w:sz w:val="22"/>
          <w:szCs w:val="22"/>
          <w:highlight w:val="none"/>
        </w:rPr>
        <w:t>废标情形</w:t>
      </w:r>
    </w:p>
    <w:p w14:paraId="25C68179">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bookmarkStart w:id="246" w:name="_Toc144974542"/>
      <w:bookmarkStart w:id="247" w:name="_Toc152042350"/>
      <w:bookmarkStart w:id="248" w:name="_Toc487641639"/>
      <w:bookmarkStart w:id="249" w:name="_Toc152045574"/>
      <w:bookmarkStart w:id="250" w:name="_Toc179632592"/>
      <w:bookmarkStart w:id="251" w:name="_Toc493081609"/>
      <w:bookmarkStart w:id="252" w:name="_Toc13946"/>
      <w:bookmarkStart w:id="253" w:name="_Toc487461295"/>
      <w:bookmarkStart w:id="254" w:name="_Toc29170"/>
      <w:r>
        <w:rPr>
          <w:rFonts w:hint="eastAsia" w:ascii="宋体" w:hAnsi="宋体" w:cs="宋体"/>
          <w:color w:val="auto"/>
          <w:sz w:val="22"/>
          <w:szCs w:val="22"/>
          <w:highlight w:val="none"/>
        </w:rPr>
        <w:t>8.1在招标过程中，出现下列情形之一的，予以废标：</w:t>
      </w:r>
    </w:p>
    <w:p w14:paraId="51043A98">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（1）出现影响招标公正的违法、违规行为的；</w:t>
      </w:r>
    </w:p>
    <w:p w14:paraId="202F0C10">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（2）因重大变故，招标任务取消的；</w:t>
      </w:r>
    </w:p>
    <w:p w14:paraId="609776F1">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废标后，招标人将废标理由通知所有投标人。</w:t>
      </w:r>
    </w:p>
    <w:p w14:paraId="681EDE4F">
      <w:pPr>
        <w:pageBreakBefore w:val="0"/>
        <w:widowControl w:val="0"/>
        <w:shd w:val="clear"/>
        <w:kinsoku/>
        <w:wordWrap/>
        <w:overflowPunct/>
        <w:topLinePunct w:val="0"/>
        <w:autoSpaceDE/>
        <w:autoSpaceDN/>
        <w:bidi w:val="0"/>
        <w:adjustRightInd/>
        <w:spacing w:line="360" w:lineRule="auto"/>
        <w:textAlignment w:val="auto"/>
        <w:outlineLvl w:val="1"/>
        <w:rPr>
          <w:rFonts w:ascii="宋体" w:hAnsi="宋体" w:cs="宋体"/>
          <w:b/>
          <w:bCs/>
          <w:color w:val="auto"/>
          <w:sz w:val="22"/>
          <w:szCs w:val="22"/>
          <w:highlight w:val="none"/>
        </w:rPr>
      </w:pPr>
      <w:r>
        <w:rPr>
          <w:rFonts w:hint="eastAsia" w:ascii="宋体" w:hAnsi="宋体" w:cs="宋体"/>
          <w:b/>
          <w:bCs/>
          <w:color w:val="auto"/>
          <w:sz w:val="22"/>
          <w:szCs w:val="22"/>
          <w:highlight w:val="none"/>
        </w:rPr>
        <w:t>9. 纪律和监督</w:t>
      </w:r>
      <w:bookmarkEnd w:id="246"/>
      <w:bookmarkEnd w:id="247"/>
      <w:bookmarkEnd w:id="248"/>
      <w:bookmarkEnd w:id="249"/>
      <w:bookmarkEnd w:id="250"/>
      <w:bookmarkEnd w:id="251"/>
      <w:bookmarkEnd w:id="252"/>
      <w:bookmarkEnd w:id="253"/>
      <w:bookmarkEnd w:id="254"/>
    </w:p>
    <w:p w14:paraId="44EED957">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55" w:name="_Toc179632593"/>
      <w:bookmarkStart w:id="256" w:name="_Toc493081610"/>
      <w:bookmarkStart w:id="257" w:name="_Toc152045575"/>
      <w:bookmarkStart w:id="258" w:name="_Toc152042351"/>
      <w:bookmarkStart w:id="259" w:name="_Toc487461296"/>
      <w:bookmarkStart w:id="260" w:name="_Toc144974543"/>
      <w:r>
        <w:rPr>
          <w:rFonts w:hint="eastAsia" w:ascii="宋体" w:hAnsi="宋体" w:cs="宋体"/>
          <w:b/>
          <w:bCs/>
          <w:color w:val="auto"/>
          <w:sz w:val="22"/>
          <w:szCs w:val="22"/>
          <w:highlight w:val="none"/>
        </w:rPr>
        <w:t>9.1 对招标人的纪律要求</w:t>
      </w:r>
      <w:bookmarkEnd w:id="255"/>
      <w:bookmarkEnd w:id="256"/>
      <w:bookmarkEnd w:id="257"/>
      <w:bookmarkEnd w:id="258"/>
      <w:bookmarkEnd w:id="259"/>
      <w:bookmarkEnd w:id="260"/>
    </w:p>
    <w:p w14:paraId="5AA19668">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招标人不得泄漏招标投标活动中应当保密的情况和资料，不得与投标人串通损害国家利益、社会公共利益或者他人合法权益。</w:t>
      </w:r>
    </w:p>
    <w:p w14:paraId="43445123">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61" w:name="_Toc152042352"/>
      <w:bookmarkStart w:id="262" w:name="_Toc152045576"/>
      <w:bookmarkStart w:id="263" w:name="_Toc493081611"/>
      <w:bookmarkStart w:id="264" w:name="_Toc179632594"/>
      <w:bookmarkStart w:id="265" w:name="_Toc487461297"/>
      <w:bookmarkStart w:id="266" w:name="_Toc144974544"/>
      <w:r>
        <w:rPr>
          <w:rFonts w:hint="eastAsia" w:ascii="宋体" w:hAnsi="宋体" w:cs="宋体"/>
          <w:b/>
          <w:bCs/>
          <w:color w:val="auto"/>
          <w:sz w:val="22"/>
          <w:szCs w:val="22"/>
          <w:highlight w:val="none"/>
        </w:rPr>
        <w:t>9.2 对投标人的纪律要求</w:t>
      </w:r>
      <w:bookmarkEnd w:id="261"/>
      <w:bookmarkEnd w:id="262"/>
      <w:bookmarkEnd w:id="263"/>
      <w:bookmarkEnd w:id="264"/>
      <w:bookmarkEnd w:id="265"/>
      <w:bookmarkEnd w:id="266"/>
    </w:p>
    <w:p w14:paraId="2E7CD58C">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bookmarkStart w:id="267" w:name="_Toc144974545"/>
      <w:bookmarkStart w:id="268" w:name="_Toc152042353"/>
      <w:bookmarkStart w:id="269" w:name="_Toc179632595"/>
      <w:bookmarkStart w:id="270" w:name="_Toc152045577"/>
      <w:r>
        <w:rPr>
          <w:rFonts w:hint="eastAsia" w:ascii="宋体" w:hAnsi="宋体" w:cs="宋体"/>
          <w:color w:val="auto"/>
          <w:sz w:val="22"/>
          <w:szCs w:val="22"/>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如投标人存在围标、串标、以他人名义投标、弄虚作假、恶意投诉、虚假投诉等行为的、经查证属实的，其提交的投标保证金不予退还，并上报相关部门记入诚信档案，一定期限内不得参与</w:t>
      </w:r>
      <w:r>
        <w:rPr>
          <w:rFonts w:hint="eastAsia" w:ascii="宋体" w:hAnsi="宋体" w:cs="宋体"/>
          <w:color w:val="auto"/>
          <w:sz w:val="22"/>
          <w:szCs w:val="22"/>
          <w:highlight w:val="none"/>
          <w:lang w:eastAsia="zh-CN"/>
        </w:rPr>
        <w:t>阜阳市颍科创新投资有限公司招标采购活动</w:t>
      </w:r>
      <w:r>
        <w:rPr>
          <w:rFonts w:hint="eastAsia" w:ascii="宋体" w:hAnsi="宋体" w:cs="宋体"/>
          <w:color w:val="auto"/>
          <w:sz w:val="22"/>
          <w:szCs w:val="22"/>
          <w:highlight w:val="none"/>
        </w:rPr>
        <w:t>。</w:t>
      </w:r>
    </w:p>
    <w:p w14:paraId="7E8FED9F">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71" w:name="_Toc493081612"/>
      <w:bookmarkStart w:id="272" w:name="_Toc487461298"/>
      <w:r>
        <w:rPr>
          <w:rFonts w:hint="eastAsia" w:ascii="宋体" w:hAnsi="宋体" w:cs="宋体"/>
          <w:b/>
          <w:bCs/>
          <w:color w:val="auto"/>
          <w:sz w:val="22"/>
          <w:szCs w:val="22"/>
          <w:highlight w:val="none"/>
        </w:rPr>
        <w:t>9.3 对评标委员会成员的纪律要求</w:t>
      </w:r>
      <w:bookmarkEnd w:id="267"/>
      <w:bookmarkEnd w:id="268"/>
      <w:bookmarkEnd w:id="269"/>
      <w:bookmarkEnd w:id="270"/>
      <w:bookmarkEnd w:id="271"/>
      <w:bookmarkEnd w:id="272"/>
    </w:p>
    <w:p w14:paraId="08947741">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0928C246">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73" w:name="_Toc493081613"/>
      <w:bookmarkStart w:id="274" w:name="_Toc487461299"/>
      <w:bookmarkStart w:id="275" w:name="_Toc179632596"/>
      <w:bookmarkStart w:id="276" w:name="_Toc152045578"/>
      <w:bookmarkStart w:id="277" w:name="_Toc152042354"/>
      <w:bookmarkStart w:id="278" w:name="_Toc144974546"/>
      <w:r>
        <w:rPr>
          <w:rFonts w:hint="eastAsia" w:ascii="宋体" w:hAnsi="宋体" w:cs="宋体"/>
          <w:b/>
          <w:bCs/>
          <w:color w:val="auto"/>
          <w:sz w:val="22"/>
          <w:szCs w:val="22"/>
          <w:highlight w:val="none"/>
        </w:rPr>
        <w:t>9.4 对与评标活动有关的工作人员的纪律要求</w:t>
      </w:r>
      <w:bookmarkEnd w:id="273"/>
      <w:bookmarkEnd w:id="274"/>
      <w:bookmarkEnd w:id="275"/>
      <w:bookmarkEnd w:id="276"/>
      <w:bookmarkEnd w:id="277"/>
    </w:p>
    <w:p w14:paraId="1FD51855">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bookmarkStart w:id="279" w:name="_Toc152042355"/>
      <w:r>
        <w:rPr>
          <w:rFonts w:hint="eastAsia" w:ascii="宋体" w:hAnsi="宋体" w:cs="宋体"/>
          <w:color w:val="auto"/>
          <w:sz w:val="22"/>
          <w:szCs w:val="22"/>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279"/>
    </w:p>
    <w:p w14:paraId="26CF7448">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2"/>
        <w:rPr>
          <w:rFonts w:ascii="宋体" w:hAnsi="宋体" w:cs="宋体"/>
          <w:b/>
          <w:bCs/>
          <w:color w:val="auto"/>
          <w:sz w:val="22"/>
          <w:szCs w:val="22"/>
          <w:highlight w:val="none"/>
        </w:rPr>
      </w:pPr>
      <w:bookmarkStart w:id="280" w:name="_Toc487461300"/>
      <w:bookmarkStart w:id="281" w:name="_Toc493081614"/>
      <w:bookmarkStart w:id="282" w:name="_Toc152045579"/>
      <w:bookmarkStart w:id="283" w:name="_Toc152042356"/>
      <w:bookmarkStart w:id="284" w:name="_Toc179632597"/>
      <w:r>
        <w:rPr>
          <w:rFonts w:hint="eastAsia" w:ascii="宋体" w:hAnsi="宋体" w:cs="宋体"/>
          <w:b/>
          <w:bCs/>
          <w:color w:val="auto"/>
          <w:sz w:val="22"/>
          <w:szCs w:val="22"/>
          <w:highlight w:val="none"/>
        </w:rPr>
        <w:t>9.5异议、投诉</w:t>
      </w:r>
      <w:bookmarkEnd w:id="280"/>
      <w:bookmarkEnd w:id="281"/>
    </w:p>
    <w:bookmarkEnd w:id="278"/>
    <w:bookmarkEnd w:id="282"/>
    <w:bookmarkEnd w:id="283"/>
    <w:bookmarkEnd w:id="284"/>
    <w:p w14:paraId="64141425">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bookmarkStart w:id="285" w:name="_Toc179632598"/>
      <w:bookmarkStart w:id="286" w:name="_Toc144974547"/>
      <w:bookmarkStart w:id="287" w:name="_Toc152045580"/>
      <w:bookmarkStart w:id="288" w:name="_Toc152042357"/>
      <w:r>
        <w:rPr>
          <w:rFonts w:hint="eastAsia" w:ascii="宋体" w:hAnsi="宋体" w:cs="宋体"/>
          <w:color w:val="auto"/>
          <w:sz w:val="22"/>
          <w:szCs w:val="22"/>
          <w:highlight w:val="none"/>
        </w:rPr>
        <w:t>投标人和其他利害关系人认为招标投标活动不符合法律、行政法规和规章规定的,可按照相关规定向招标人提出</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w:t>
      </w:r>
    </w:p>
    <w:p w14:paraId="6078E2D7">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ascii="宋体" w:hAnsi="宋体" w:cs="宋体"/>
          <w:color w:val="auto"/>
          <w:sz w:val="22"/>
          <w:szCs w:val="22"/>
          <w:highlight w:val="none"/>
        </w:rPr>
      </w:pPr>
      <w:r>
        <w:rPr>
          <w:rFonts w:hint="eastAsia" w:ascii="宋体" w:hAnsi="宋体" w:cs="宋体"/>
          <w:color w:val="auto"/>
          <w:sz w:val="22"/>
          <w:szCs w:val="22"/>
          <w:highlight w:val="none"/>
        </w:rPr>
        <w:t>招标人不受理投标人逾期提出的</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。招标人收到</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后，未在3个工作日内作出答复的，不再对</w:t>
      </w:r>
      <w:r>
        <w:rPr>
          <w:rFonts w:hint="eastAsia" w:ascii="宋体" w:hAnsi="宋体" w:cs="宋体"/>
          <w:color w:val="auto"/>
          <w:sz w:val="22"/>
          <w:szCs w:val="22"/>
          <w:highlight w:val="none"/>
          <w:lang w:eastAsia="zh-CN"/>
        </w:rPr>
        <w:t>异议</w:t>
      </w:r>
      <w:r>
        <w:rPr>
          <w:rFonts w:hint="eastAsia" w:ascii="宋体" w:hAnsi="宋体" w:cs="宋体"/>
          <w:color w:val="auto"/>
          <w:sz w:val="22"/>
          <w:szCs w:val="22"/>
          <w:highlight w:val="none"/>
        </w:rPr>
        <w:t>进行处理。</w:t>
      </w:r>
    </w:p>
    <w:p w14:paraId="5B4EEB7B">
      <w:pPr>
        <w:pStyle w:val="20"/>
        <w:pageBreakBefore w:val="0"/>
        <w:widowControl w:val="0"/>
        <w:shd w:val="clear"/>
        <w:kinsoku/>
        <w:wordWrap/>
        <w:overflowPunct/>
        <w:topLinePunct w:val="0"/>
        <w:autoSpaceDE/>
        <w:autoSpaceDN/>
        <w:bidi w:val="0"/>
        <w:adjustRightInd/>
        <w:spacing w:line="360" w:lineRule="auto"/>
        <w:ind w:firstLine="440" w:firstLineChars="200"/>
        <w:jc w:val="both"/>
        <w:textAlignment w:val="auto"/>
        <w:rPr>
          <w:rFonts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w:t>
      </w:r>
      <w:r>
        <w:rPr>
          <w:rFonts w:ascii="宋体" w:hAnsi="宋体" w:eastAsia="宋体" w:cs="宋体"/>
          <w:b/>
          <w:bCs/>
          <w:color w:val="auto"/>
          <w:sz w:val="22"/>
          <w:szCs w:val="22"/>
          <w:highlight w:val="none"/>
        </w:rPr>
        <w:t>0</w:t>
      </w:r>
      <w:r>
        <w:rPr>
          <w:rFonts w:hint="eastAsia" w:ascii="宋体" w:hAnsi="宋体" w:eastAsia="宋体" w:cs="宋体"/>
          <w:b/>
          <w:bCs/>
          <w:color w:val="auto"/>
          <w:sz w:val="22"/>
          <w:szCs w:val="22"/>
          <w:highlight w:val="none"/>
        </w:rPr>
        <w:t>、重新招标</w:t>
      </w:r>
    </w:p>
    <w:p w14:paraId="1BC414E6">
      <w:pPr>
        <w:keepNext/>
        <w:keepLines/>
        <w:pageBreakBefore w:val="0"/>
        <w:widowControl w:val="0"/>
        <w:shd w:val="clear"/>
        <w:kinsoku/>
        <w:wordWrap/>
        <w:overflowPunct/>
        <w:topLinePunct w:val="0"/>
        <w:autoSpaceDE/>
        <w:autoSpaceDN/>
        <w:bidi w:val="0"/>
        <w:adjustRightInd/>
        <w:spacing w:line="360" w:lineRule="auto"/>
        <w:ind w:firstLine="431" w:firstLineChars="196"/>
        <w:textAlignment w:val="auto"/>
        <w:outlineLvl w:val="2"/>
        <w:rPr>
          <w:rFonts w:ascii="宋体" w:hAnsi="Calibri" w:cs="宋体"/>
          <w:b/>
          <w:bCs/>
          <w:color w:val="auto"/>
          <w:sz w:val="22"/>
          <w:szCs w:val="22"/>
          <w:highlight w:val="none"/>
        </w:rPr>
      </w:pPr>
      <w:r>
        <w:rPr>
          <w:rFonts w:ascii="宋体" w:hAnsi="Calibri" w:cs="宋体"/>
          <w:b/>
          <w:bCs/>
          <w:color w:val="auto"/>
          <w:sz w:val="22"/>
          <w:szCs w:val="22"/>
          <w:highlight w:val="none"/>
        </w:rPr>
        <w:t>10</w:t>
      </w:r>
      <w:r>
        <w:rPr>
          <w:rFonts w:hint="eastAsia" w:ascii="宋体" w:hAnsi="Calibri" w:cs="宋体"/>
          <w:b/>
          <w:bCs/>
          <w:color w:val="auto"/>
          <w:sz w:val="22"/>
          <w:szCs w:val="22"/>
          <w:highlight w:val="none"/>
        </w:rPr>
        <w:t>.1有下列情形的，招标人将重新招标</w:t>
      </w:r>
    </w:p>
    <w:p w14:paraId="52FB7EE6">
      <w:pPr>
        <w:pageBreakBefore w:val="0"/>
        <w:widowControl w:val="0"/>
        <w:shd w:val="clear"/>
        <w:kinsoku/>
        <w:wordWrap/>
        <w:overflowPunct/>
        <w:topLinePunct w:val="0"/>
        <w:autoSpaceDE/>
        <w:autoSpaceDN/>
        <w:bidi w:val="0"/>
        <w:adjustRightInd/>
        <w:spacing w:line="360" w:lineRule="auto"/>
        <w:ind w:firstLine="549"/>
        <w:textAlignment w:val="auto"/>
        <w:rPr>
          <w:rFonts w:ascii="宋体" w:hAnsi="宋体" w:cs="宋体"/>
          <w:color w:val="auto"/>
          <w:sz w:val="22"/>
          <w:szCs w:val="22"/>
          <w:highlight w:val="none"/>
        </w:rPr>
      </w:pPr>
      <w:r>
        <w:rPr>
          <w:rFonts w:hint="eastAsia" w:ascii="宋体" w:hAnsi="宋体" w:cs="宋体"/>
          <w:bCs/>
          <w:color w:val="auto"/>
          <w:sz w:val="22"/>
          <w:szCs w:val="22"/>
          <w:highlight w:val="none"/>
        </w:rPr>
        <w:t>（</w:t>
      </w:r>
      <w:r>
        <w:rPr>
          <w:rFonts w:hint="eastAsia" w:ascii="宋体" w:hAnsi="宋体" w:cs="宋体"/>
          <w:bCs/>
          <w:color w:val="auto"/>
          <w:sz w:val="22"/>
          <w:szCs w:val="22"/>
          <w:highlight w:val="none"/>
          <w:lang w:val="en-US" w:eastAsia="zh-CN"/>
        </w:rPr>
        <w:t>1</w:t>
      </w:r>
      <w:r>
        <w:rPr>
          <w:rFonts w:hint="eastAsia" w:ascii="宋体" w:hAnsi="宋体" w:cs="宋体"/>
          <w:bCs/>
          <w:color w:val="auto"/>
          <w:sz w:val="22"/>
          <w:szCs w:val="22"/>
          <w:highlight w:val="none"/>
        </w:rPr>
        <w:t>）经评标委员会评审后否决所有投标的</w:t>
      </w:r>
      <w:r>
        <w:rPr>
          <w:rFonts w:hint="eastAsia" w:ascii="宋体" w:hAnsi="宋体" w:cs="宋体"/>
          <w:color w:val="auto"/>
          <w:sz w:val="22"/>
          <w:szCs w:val="22"/>
          <w:highlight w:val="none"/>
        </w:rPr>
        <w:t>。</w:t>
      </w:r>
    </w:p>
    <w:p w14:paraId="21CFCA2D">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hint="eastAsia" w:ascii="宋体" w:hAnsi="宋体" w:cs="宋体"/>
          <w:b/>
          <w:bCs/>
          <w:color w:val="auto"/>
          <w:sz w:val="22"/>
          <w:szCs w:val="22"/>
          <w:highlight w:val="none"/>
        </w:rPr>
      </w:pPr>
      <w:bookmarkStart w:id="289" w:name="_Toc487641640"/>
      <w:bookmarkStart w:id="290" w:name="_Toc493081615"/>
      <w:bookmarkStart w:id="291" w:name="_Toc487461301"/>
      <w:r>
        <w:rPr>
          <w:rFonts w:hint="eastAsia" w:ascii="宋体" w:hAnsi="宋体" w:cs="宋体"/>
          <w:b/>
          <w:bCs/>
          <w:color w:val="auto"/>
          <w:sz w:val="22"/>
          <w:szCs w:val="22"/>
          <w:highlight w:val="none"/>
        </w:rPr>
        <w:t>1</w:t>
      </w:r>
      <w:r>
        <w:rPr>
          <w:rFonts w:ascii="宋体" w:hAnsi="宋体" w:cs="宋体"/>
          <w:b/>
          <w:bCs/>
          <w:color w:val="auto"/>
          <w:sz w:val="22"/>
          <w:szCs w:val="22"/>
          <w:highlight w:val="none"/>
        </w:rPr>
        <w:t>1</w:t>
      </w:r>
      <w:r>
        <w:rPr>
          <w:rFonts w:hint="eastAsia" w:ascii="宋体" w:hAnsi="宋体" w:cs="宋体"/>
          <w:b/>
          <w:bCs/>
          <w:color w:val="auto"/>
          <w:sz w:val="22"/>
          <w:szCs w:val="22"/>
          <w:highlight w:val="none"/>
        </w:rPr>
        <w:t>. 需要补充的其他内容</w:t>
      </w:r>
      <w:bookmarkEnd w:id="285"/>
      <w:bookmarkEnd w:id="286"/>
      <w:bookmarkEnd w:id="287"/>
      <w:bookmarkEnd w:id="288"/>
      <w:bookmarkEnd w:id="289"/>
      <w:bookmarkEnd w:id="290"/>
      <w:bookmarkEnd w:id="291"/>
    </w:p>
    <w:p w14:paraId="60ABBF84">
      <w:pPr>
        <w:pageBreakBefore w:val="0"/>
        <w:widowControl w:val="0"/>
        <w:shd w:val="clear"/>
        <w:kinsoku/>
        <w:wordWrap/>
        <w:overflowPunct/>
        <w:topLinePunct w:val="0"/>
        <w:autoSpaceDE/>
        <w:autoSpaceDN/>
        <w:bidi w:val="0"/>
        <w:adjustRightInd/>
        <w:spacing w:line="360" w:lineRule="auto"/>
        <w:ind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11.1详见投标人须知前附表。</w:t>
      </w:r>
    </w:p>
    <w:p w14:paraId="08D32E74">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ascii="宋体" w:hAnsi="宋体" w:cs="宋体"/>
          <w:b/>
          <w:bCs/>
          <w:color w:val="auto"/>
          <w:sz w:val="22"/>
          <w:szCs w:val="22"/>
          <w:highlight w:val="none"/>
        </w:rPr>
      </w:pPr>
      <w:bookmarkStart w:id="292" w:name="_Toc493081616"/>
      <w:r>
        <w:rPr>
          <w:rFonts w:hint="eastAsia" w:ascii="宋体" w:hAnsi="宋体" w:cs="宋体"/>
          <w:b/>
          <w:bCs/>
          <w:color w:val="auto"/>
          <w:sz w:val="22"/>
          <w:szCs w:val="22"/>
          <w:highlight w:val="none"/>
        </w:rPr>
        <w:t>1</w:t>
      </w:r>
      <w:r>
        <w:rPr>
          <w:rFonts w:ascii="宋体" w:hAnsi="宋体" w:cs="宋体"/>
          <w:b/>
          <w:bCs/>
          <w:color w:val="auto"/>
          <w:sz w:val="22"/>
          <w:szCs w:val="22"/>
          <w:highlight w:val="none"/>
        </w:rPr>
        <w:t>2</w:t>
      </w:r>
      <w:r>
        <w:rPr>
          <w:rFonts w:hint="eastAsia" w:ascii="宋体" w:hAnsi="宋体" w:cs="宋体"/>
          <w:b/>
          <w:bCs/>
          <w:color w:val="auto"/>
          <w:sz w:val="22"/>
          <w:szCs w:val="22"/>
          <w:highlight w:val="none"/>
        </w:rPr>
        <w:t>.本招标文件解释权</w:t>
      </w:r>
      <w:bookmarkEnd w:id="292"/>
    </w:p>
    <w:p w14:paraId="1F2EB26D">
      <w:pPr>
        <w:pageBreakBefore w:val="0"/>
        <w:widowControl w:val="0"/>
        <w:shd w:val="clear"/>
        <w:kinsoku/>
        <w:wordWrap/>
        <w:overflowPunct/>
        <w:topLinePunct w:val="0"/>
        <w:autoSpaceDE/>
        <w:autoSpaceDN/>
        <w:bidi w:val="0"/>
        <w:adjustRightInd/>
        <w:spacing w:line="360" w:lineRule="auto"/>
        <w:ind w:firstLine="440" w:firstLineChars="200"/>
        <w:textAlignment w:val="auto"/>
        <w:outlineLvl w:val="1"/>
        <w:rPr>
          <w:rFonts w:ascii="宋体" w:hAnsi="宋体" w:cs="宋体"/>
          <w:color w:val="auto"/>
          <w:sz w:val="22"/>
          <w:szCs w:val="22"/>
          <w:highlight w:val="none"/>
        </w:rPr>
      </w:pPr>
      <w:r>
        <w:rPr>
          <w:rFonts w:hint="eastAsia" w:ascii="宋体" w:hAnsi="宋体" w:cs="宋体"/>
          <w:color w:val="auto"/>
          <w:sz w:val="22"/>
          <w:szCs w:val="22"/>
          <w:highlight w:val="none"/>
        </w:rPr>
        <w:t>1</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.1本招标文件的解释权归招标人所有。</w:t>
      </w:r>
      <w:bookmarkStart w:id="293" w:name="_Toc434829626"/>
      <w:bookmarkStart w:id="294" w:name="_Toc144974565"/>
      <w:bookmarkStart w:id="295" w:name="_Toc152042375"/>
      <w:bookmarkStart w:id="296" w:name="_Toc152045598"/>
      <w:bookmarkStart w:id="297" w:name="_Toc342402139"/>
    </w:p>
    <w:p w14:paraId="707F7643">
      <w:pPr>
        <w:shd w:val="clear"/>
        <w:spacing w:line="360" w:lineRule="auto"/>
        <w:jc w:val="both"/>
        <w:rPr>
          <w:rFonts w:hint="eastAsia" w:ascii="宋体" w:hAnsi="宋体" w:cs="宋体"/>
          <w:b/>
          <w:bCs/>
          <w:color w:val="auto"/>
          <w:sz w:val="32"/>
          <w:szCs w:val="32"/>
          <w:highlight w:val="none"/>
        </w:rPr>
      </w:pPr>
    </w:p>
    <w:p w14:paraId="62EA7A4F">
      <w:pPr>
        <w:shd w:val="clear"/>
        <w:spacing w:line="360" w:lineRule="auto"/>
        <w:jc w:val="center"/>
        <w:rPr>
          <w:rFonts w:hint="eastAsia" w:ascii="宋体" w:hAnsi="宋体" w:cs="宋体"/>
          <w:b/>
          <w:bCs/>
          <w:color w:val="auto"/>
          <w:sz w:val="32"/>
          <w:szCs w:val="32"/>
          <w:highlight w:val="none"/>
        </w:rPr>
      </w:pPr>
    </w:p>
    <w:p w14:paraId="0A648A63">
      <w:pPr>
        <w:shd w:val="clear"/>
        <w:spacing w:line="360" w:lineRule="auto"/>
        <w:jc w:val="center"/>
        <w:rPr>
          <w:rFonts w:hint="eastAsia" w:ascii="宋体" w:hAnsi="宋体" w:cs="宋体"/>
          <w:b/>
          <w:bCs/>
          <w:color w:val="auto"/>
          <w:sz w:val="32"/>
          <w:szCs w:val="32"/>
          <w:highlight w:val="none"/>
        </w:rPr>
      </w:pPr>
    </w:p>
    <w:p w14:paraId="48CAC05D">
      <w:pPr>
        <w:shd w:val="clear"/>
        <w:spacing w:line="360" w:lineRule="auto"/>
        <w:jc w:val="center"/>
        <w:rPr>
          <w:rFonts w:hint="eastAsia" w:ascii="宋体" w:hAnsi="宋体" w:cs="宋体"/>
          <w:b/>
          <w:bCs/>
          <w:color w:val="auto"/>
          <w:sz w:val="32"/>
          <w:szCs w:val="32"/>
          <w:highlight w:val="none"/>
        </w:rPr>
      </w:pPr>
    </w:p>
    <w:p w14:paraId="4006D74B">
      <w:pPr>
        <w:shd w:val="clear"/>
        <w:spacing w:line="360" w:lineRule="auto"/>
        <w:jc w:val="center"/>
        <w:rPr>
          <w:rFonts w:hint="eastAsia" w:ascii="宋体" w:hAnsi="宋体" w:cs="宋体"/>
          <w:b/>
          <w:bCs/>
          <w:color w:val="auto"/>
          <w:sz w:val="32"/>
          <w:szCs w:val="32"/>
          <w:highlight w:val="none"/>
        </w:rPr>
      </w:pPr>
    </w:p>
    <w:p w14:paraId="08F5A39B">
      <w:pPr>
        <w:shd w:val="clear"/>
        <w:spacing w:line="360" w:lineRule="auto"/>
        <w:jc w:val="center"/>
        <w:rPr>
          <w:rFonts w:hint="eastAsia" w:ascii="宋体" w:hAnsi="宋体" w:cs="宋体"/>
          <w:b/>
          <w:bCs/>
          <w:color w:val="auto"/>
          <w:sz w:val="32"/>
          <w:szCs w:val="32"/>
          <w:highlight w:val="none"/>
        </w:rPr>
      </w:pPr>
    </w:p>
    <w:p w14:paraId="79E28D39">
      <w:pPr>
        <w:shd w:val="clear"/>
        <w:spacing w:line="360" w:lineRule="auto"/>
        <w:jc w:val="center"/>
        <w:rPr>
          <w:rFonts w:hint="eastAsia" w:ascii="宋体" w:hAnsi="宋体" w:cs="宋体"/>
          <w:b/>
          <w:bCs/>
          <w:color w:val="auto"/>
          <w:sz w:val="32"/>
          <w:szCs w:val="32"/>
          <w:highlight w:val="none"/>
        </w:rPr>
      </w:pPr>
    </w:p>
    <w:p w14:paraId="199425CD">
      <w:pPr>
        <w:shd w:val="clear"/>
        <w:spacing w:line="360" w:lineRule="auto"/>
        <w:jc w:val="center"/>
        <w:rPr>
          <w:rFonts w:hint="eastAsia" w:ascii="宋体" w:hAnsi="宋体" w:cs="宋体"/>
          <w:b/>
          <w:bCs/>
          <w:color w:val="auto"/>
          <w:sz w:val="32"/>
          <w:szCs w:val="32"/>
          <w:highlight w:val="none"/>
        </w:rPr>
      </w:pPr>
    </w:p>
    <w:p w14:paraId="269D7232">
      <w:pPr>
        <w:shd w:val="clear"/>
        <w:spacing w:line="360" w:lineRule="auto"/>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第三章</w:t>
      </w:r>
      <w:r>
        <w:rPr>
          <w:rFonts w:hint="eastAsia" w:ascii="宋体" w:hAnsi="宋体" w:cs="宋体"/>
          <w:color w:val="auto"/>
          <w:sz w:val="32"/>
          <w:szCs w:val="32"/>
          <w:highlight w:val="none"/>
        </w:rPr>
        <w:t xml:space="preserve"> </w:t>
      </w:r>
      <w:bookmarkEnd w:id="293"/>
      <w:bookmarkEnd w:id="294"/>
      <w:bookmarkEnd w:id="295"/>
      <w:bookmarkEnd w:id="296"/>
      <w:bookmarkEnd w:id="297"/>
      <w:r>
        <w:rPr>
          <w:rFonts w:hint="eastAsia" w:ascii="宋体" w:hAnsi="宋体" w:cs="宋体"/>
          <w:b/>
          <w:bCs/>
          <w:color w:val="auto"/>
          <w:sz w:val="32"/>
          <w:szCs w:val="32"/>
          <w:highlight w:val="none"/>
        </w:rPr>
        <w:t>评标办法</w:t>
      </w:r>
    </w:p>
    <w:p w14:paraId="694A2098">
      <w:pPr>
        <w:pStyle w:val="14"/>
        <w:shd w:val="clear"/>
        <w:rPr>
          <w:color w:val="auto"/>
          <w:highlight w:val="none"/>
        </w:rPr>
      </w:pPr>
    </w:p>
    <w:tbl>
      <w:tblPr>
        <w:tblStyle w:val="15"/>
        <w:tblW w:w="9997" w:type="dxa"/>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7"/>
      </w:tblGrid>
      <w:tr w14:paraId="05E5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8" w:hRule="atLeast"/>
        </w:trPr>
        <w:tc>
          <w:tcPr>
            <w:tcW w:w="9997" w:type="dxa"/>
            <w:vAlign w:val="center"/>
          </w:tcPr>
          <w:p w14:paraId="626B61F2">
            <w:pPr>
              <w:shd w:val="clear"/>
              <w:spacing w:line="360" w:lineRule="auto"/>
              <w:ind w:firstLine="3465" w:firstLineChars="1650"/>
              <w:rPr>
                <w:rFonts w:ascii="宋体" w:hAnsi="宋体" w:cs="宋体"/>
                <w:color w:val="auto"/>
                <w:highlight w:val="none"/>
              </w:rPr>
            </w:pPr>
            <w:r>
              <w:rPr>
                <w:rFonts w:hint="eastAsia" w:ascii="宋体" w:hAnsi="宋体" w:cs="宋体"/>
                <w:b/>
                <w:bCs/>
                <w:color w:val="auto"/>
                <w:highlight w:val="none"/>
              </w:rPr>
              <w:t>评标委员会否决其投标的条款</w:t>
            </w:r>
          </w:p>
        </w:tc>
      </w:tr>
      <w:tr w14:paraId="1E15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2" w:hRule="atLeast"/>
        </w:trPr>
        <w:tc>
          <w:tcPr>
            <w:tcW w:w="9997" w:type="dxa"/>
          </w:tcPr>
          <w:p w14:paraId="4E03658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1、不符合评标办法前附表要求条件的。</w:t>
            </w:r>
          </w:p>
          <w:p w14:paraId="2701739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2、评标委员会认定投标人以低于成本报价投标的。</w:t>
            </w:r>
          </w:p>
          <w:p w14:paraId="1E221622">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3、投标人有串通投标或弄虚作假或有其他违法行为的。串通投标行为是指：</w:t>
            </w:r>
          </w:p>
          <w:p w14:paraId="231CAAD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（1）不同投标人的投标文件内容存在非正常一致的；</w:t>
            </w:r>
          </w:p>
          <w:p w14:paraId="0BB00823">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（2）不同投标人委托同一人投标或与同一人联合投标的；</w:t>
            </w:r>
          </w:p>
          <w:p w14:paraId="3052BF7D">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（3）不同投标人的投标文件载明的拟派项目服务人员出现同一人的；</w:t>
            </w:r>
          </w:p>
          <w:p w14:paraId="05895117">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（4）不同投标人的投标文件相互混装的（已开标记录为准）；</w:t>
            </w:r>
          </w:p>
          <w:p w14:paraId="54CD52D0">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（5）不同投标人的投标文件由同一单位或同一人编制的；</w:t>
            </w:r>
          </w:p>
          <w:p w14:paraId="77B7C15F">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（6）不同投标人使用同一人或企业资金提交投标保证金的（如有）；</w:t>
            </w:r>
          </w:p>
          <w:p w14:paraId="3AD2BF3E">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（7）不同投标人聘请同一人或同一中介机构为其投标提供技术或经济咨询服务的；</w:t>
            </w:r>
          </w:p>
          <w:p w14:paraId="5F104C96">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4、实质性内容不全或关键字迹模糊、无法辨认的。</w:t>
            </w:r>
          </w:p>
          <w:p w14:paraId="3CA081DF">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5、投标人递交两份或多份内容不同的投标文件，投标文件中对同一招标项目同一标段报有两个或多个报价，且未声明哪一个有效的。按招标文件规定提交备选投标方案的除外。</w:t>
            </w:r>
          </w:p>
          <w:p w14:paraId="2BEC3437">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6、投标报价</w:t>
            </w:r>
            <w:r>
              <w:rPr>
                <w:rFonts w:hint="eastAsia" w:ascii="宋体" w:hAnsi="宋体" w:cs="宋体"/>
                <w:bCs/>
                <w:color w:val="auto"/>
                <w:highlight w:val="none"/>
                <w:lang w:val="en-US" w:eastAsia="zh-CN"/>
              </w:rPr>
              <w:t>超过</w:t>
            </w:r>
            <w:r>
              <w:rPr>
                <w:rFonts w:hint="eastAsia" w:ascii="宋体" w:hAnsi="宋体" w:cs="宋体"/>
                <w:bCs/>
                <w:color w:val="auto"/>
                <w:highlight w:val="none"/>
              </w:rPr>
              <w:t>最高投标限价的（如有）。</w:t>
            </w:r>
          </w:p>
          <w:p w14:paraId="47867770">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7、</w:t>
            </w:r>
            <w:r>
              <w:rPr>
                <w:rFonts w:hint="eastAsia" w:ascii="宋体" w:hAnsi="宋体" w:cs="宋体"/>
                <w:color w:val="auto"/>
                <w:highlight w:val="none"/>
              </w:rPr>
              <w:t>投标人存在投标人须知1.4.3所列情形的</w:t>
            </w:r>
            <w:r>
              <w:rPr>
                <w:rFonts w:hint="eastAsia" w:ascii="宋体" w:hAnsi="宋体" w:cs="宋体"/>
                <w:bCs/>
                <w:color w:val="auto"/>
                <w:highlight w:val="none"/>
              </w:rPr>
              <w:t>。</w:t>
            </w:r>
          </w:p>
          <w:p w14:paraId="6F669025">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8、投标人不按本章第3.4.1项要求提交投标保证金的（如有）。</w:t>
            </w:r>
          </w:p>
          <w:p w14:paraId="70DA9CBB">
            <w:pPr>
              <w:shd w:val="clear"/>
              <w:spacing w:line="360" w:lineRule="auto"/>
              <w:ind w:firstLine="420" w:firstLineChars="200"/>
              <w:rPr>
                <w:rFonts w:ascii="宋体" w:hAnsi="宋体" w:cs="宋体"/>
                <w:bCs/>
                <w:color w:val="auto"/>
                <w:highlight w:val="none"/>
              </w:rPr>
            </w:pPr>
            <w:r>
              <w:rPr>
                <w:rFonts w:hint="eastAsia" w:ascii="宋体" w:hAnsi="宋体" w:cs="宋体"/>
                <w:bCs/>
                <w:color w:val="auto"/>
                <w:highlight w:val="none"/>
              </w:rPr>
              <w:t>9、改变投标人诚信承诺书内容约定的。</w:t>
            </w:r>
          </w:p>
          <w:p w14:paraId="072DC8EF">
            <w:pPr>
              <w:shd w:val="clear"/>
              <w:spacing w:line="360" w:lineRule="auto"/>
              <w:ind w:firstLine="430" w:firstLineChars="205"/>
              <w:rPr>
                <w:rFonts w:ascii="宋体" w:hAnsi="宋体" w:cs="宋体"/>
                <w:color w:val="auto"/>
                <w:highlight w:val="none"/>
              </w:rPr>
            </w:pPr>
            <w:r>
              <w:rPr>
                <w:rFonts w:hint="eastAsia" w:ascii="宋体" w:hAnsi="宋体" w:cs="宋体"/>
                <w:bCs/>
                <w:color w:val="auto"/>
                <w:highlight w:val="none"/>
              </w:rPr>
              <w:t>除以上情形和《评标办法前附表》规定外，不得否决投标。因不可预测情形需否决投标的，评标委员会应慎重作出决定。</w:t>
            </w:r>
          </w:p>
        </w:tc>
      </w:tr>
    </w:tbl>
    <w:p w14:paraId="12336EEA">
      <w:pPr>
        <w:shd w:val="clear"/>
        <w:spacing w:line="360" w:lineRule="auto"/>
        <w:jc w:val="center"/>
        <w:outlineLvl w:val="1"/>
        <w:rPr>
          <w:rFonts w:ascii="宋体" w:hAnsi="宋体" w:cs="宋体"/>
          <w:b/>
          <w:bCs/>
          <w:color w:val="auto"/>
          <w:highlight w:val="none"/>
        </w:rPr>
      </w:pPr>
      <w:bookmarkStart w:id="298" w:name="_Toc487461304"/>
      <w:bookmarkStart w:id="299" w:name="_Toc487641643"/>
      <w:bookmarkStart w:id="300" w:name="_Toc493081617"/>
    </w:p>
    <w:p w14:paraId="31656DB1">
      <w:pPr>
        <w:shd w:val="clear"/>
        <w:spacing w:line="360" w:lineRule="auto"/>
        <w:jc w:val="center"/>
        <w:outlineLvl w:val="1"/>
        <w:rPr>
          <w:rFonts w:ascii="宋体" w:hAnsi="宋体" w:cs="宋体"/>
          <w:b/>
          <w:bCs/>
          <w:color w:val="auto"/>
          <w:highlight w:val="none"/>
        </w:rPr>
      </w:pPr>
    </w:p>
    <w:p w14:paraId="21046608">
      <w:pPr>
        <w:shd w:val="clear"/>
        <w:spacing w:line="360" w:lineRule="auto"/>
        <w:outlineLvl w:val="1"/>
        <w:rPr>
          <w:rFonts w:ascii="宋体" w:hAnsi="宋体" w:cs="宋体"/>
          <w:b/>
          <w:bCs/>
          <w:color w:val="auto"/>
          <w:highlight w:val="none"/>
        </w:rPr>
      </w:pPr>
    </w:p>
    <w:bookmarkEnd w:id="298"/>
    <w:bookmarkEnd w:id="299"/>
    <w:p w14:paraId="00D6E072">
      <w:pPr>
        <w:shd w:val="clear"/>
        <w:spacing w:line="360" w:lineRule="auto"/>
        <w:jc w:val="center"/>
        <w:outlineLvl w:val="1"/>
        <w:rPr>
          <w:rFonts w:ascii="宋体" w:hAnsi="宋体" w:cs="宋体"/>
          <w:b/>
          <w:bCs/>
          <w:color w:val="auto"/>
          <w:highlight w:val="none"/>
        </w:rPr>
      </w:pPr>
    </w:p>
    <w:p w14:paraId="5B38C4E6">
      <w:pPr>
        <w:shd w:val="clear"/>
        <w:spacing w:line="360" w:lineRule="auto"/>
        <w:jc w:val="center"/>
        <w:outlineLvl w:val="1"/>
        <w:rPr>
          <w:rFonts w:ascii="宋体" w:hAnsi="宋体" w:cs="宋体"/>
          <w:b/>
          <w:bCs/>
          <w:color w:val="auto"/>
          <w:highlight w:val="none"/>
        </w:rPr>
      </w:pPr>
    </w:p>
    <w:p w14:paraId="2464DD75">
      <w:pPr>
        <w:shd w:val="clear"/>
        <w:spacing w:line="360" w:lineRule="auto"/>
        <w:jc w:val="center"/>
        <w:outlineLvl w:val="1"/>
        <w:rPr>
          <w:rFonts w:ascii="宋体" w:hAnsi="宋体" w:cs="宋体"/>
          <w:b/>
          <w:bCs/>
          <w:color w:val="auto"/>
          <w:highlight w:val="none"/>
        </w:rPr>
      </w:pPr>
    </w:p>
    <w:p w14:paraId="4A728392">
      <w:pPr>
        <w:shd w:val="clear"/>
        <w:spacing w:line="360" w:lineRule="auto"/>
        <w:jc w:val="center"/>
        <w:outlineLvl w:val="1"/>
        <w:rPr>
          <w:rFonts w:ascii="宋体" w:hAnsi="宋体" w:cs="宋体"/>
          <w:b/>
          <w:bCs/>
          <w:color w:val="auto"/>
          <w:highlight w:val="none"/>
        </w:rPr>
      </w:pPr>
    </w:p>
    <w:p w14:paraId="06F85961">
      <w:pPr>
        <w:shd w:val="clear"/>
        <w:spacing w:line="360" w:lineRule="auto"/>
        <w:jc w:val="center"/>
        <w:outlineLvl w:val="1"/>
        <w:rPr>
          <w:rFonts w:ascii="宋体" w:hAnsi="宋体" w:cs="宋体"/>
          <w:b/>
          <w:bCs/>
          <w:color w:val="auto"/>
          <w:highlight w:val="none"/>
        </w:rPr>
      </w:pPr>
      <w:r>
        <w:rPr>
          <w:rFonts w:hint="eastAsia" w:ascii="宋体" w:hAnsi="宋体" w:cs="宋体"/>
          <w:b/>
          <w:bCs/>
          <w:color w:val="auto"/>
          <w:highlight w:val="none"/>
        </w:rPr>
        <w:t>评标办法前附表</w:t>
      </w:r>
      <w:bookmarkEnd w:id="300"/>
    </w:p>
    <w:tbl>
      <w:tblPr>
        <w:tblStyle w:val="15"/>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49"/>
        <w:gridCol w:w="6416"/>
      </w:tblGrid>
      <w:tr w14:paraId="76F252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61" w:hRule="atLeast"/>
          <w:jc w:val="center"/>
        </w:trPr>
        <w:tc>
          <w:tcPr>
            <w:tcW w:w="893" w:type="dxa"/>
            <w:tcBorders>
              <w:top w:val="single" w:color="auto" w:sz="4" w:space="0"/>
              <w:bottom w:val="single" w:color="auto" w:sz="4" w:space="0"/>
              <w:right w:val="single" w:color="auto" w:sz="4" w:space="0"/>
            </w:tcBorders>
            <w:vAlign w:val="center"/>
          </w:tcPr>
          <w:p w14:paraId="764031EC">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评审内容</w:t>
            </w:r>
          </w:p>
        </w:tc>
        <w:tc>
          <w:tcPr>
            <w:tcW w:w="2149" w:type="dxa"/>
            <w:tcBorders>
              <w:top w:val="single" w:color="auto" w:sz="4" w:space="0"/>
              <w:left w:val="single" w:color="auto" w:sz="4" w:space="0"/>
              <w:bottom w:val="single" w:color="auto" w:sz="4" w:space="0"/>
              <w:right w:val="single" w:color="auto" w:sz="4" w:space="0"/>
            </w:tcBorders>
            <w:vAlign w:val="center"/>
          </w:tcPr>
          <w:p w14:paraId="76529F08">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评审因素</w:t>
            </w:r>
          </w:p>
        </w:tc>
        <w:tc>
          <w:tcPr>
            <w:tcW w:w="6416" w:type="dxa"/>
            <w:tcBorders>
              <w:top w:val="single" w:color="auto" w:sz="4" w:space="0"/>
              <w:left w:val="single" w:color="auto" w:sz="4" w:space="0"/>
              <w:bottom w:val="single" w:color="auto" w:sz="4" w:space="0"/>
            </w:tcBorders>
            <w:vAlign w:val="center"/>
          </w:tcPr>
          <w:p w14:paraId="00AE7BDF">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评审标准</w:t>
            </w:r>
          </w:p>
        </w:tc>
      </w:tr>
      <w:tr w14:paraId="35186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49" w:hRule="atLeast"/>
          <w:jc w:val="center"/>
        </w:trPr>
        <w:tc>
          <w:tcPr>
            <w:tcW w:w="893" w:type="dxa"/>
            <w:vMerge w:val="restart"/>
            <w:tcBorders>
              <w:top w:val="single" w:color="auto" w:sz="4" w:space="0"/>
              <w:right w:val="single" w:color="auto" w:sz="4" w:space="0"/>
            </w:tcBorders>
            <w:vAlign w:val="center"/>
          </w:tcPr>
          <w:p w14:paraId="02ED46E6">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资格评审</w:t>
            </w:r>
          </w:p>
        </w:tc>
        <w:tc>
          <w:tcPr>
            <w:tcW w:w="2149" w:type="dxa"/>
            <w:tcBorders>
              <w:top w:val="single" w:color="auto" w:sz="4" w:space="0"/>
              <w:left w:val="single" w:color="auto" w:sz="4" w:space="0"/>
              <w:bottom w:val="single" w:color="auto" w:sz="4" w:space="0"/>
              <w:right w:val="single" w:color="auto" w:sz="4" w:space="0"/>
            </w:tcBorders>
            <w:vAlign w:val="center"/>
          </w:tcPr>
          <w:p w14:paraId="22A57DE7">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营业执照</w:t>
            </w:r>
            <w:r>
              <w:rPr>
                <w:rFonts w:hint="eastAsia" w:ascii="宋体" w:hAnsi="宋体" w:cs="宋体"/>
                <w:color w:val="auto"/>
                <w:highlight w:val="none"/>
                <w:lang w:val="en-US" w:eastAsia="zh-CN"/>
              </w:rPr>
              <w:t>等</w:t>
            </w:r>
            <w:r>
              <w:rPr>
                <w:rFonts w:hint="eastAsia" w:ascii="宋体" w:hAnsi="宋体" w:cs="宋体"/>
                <w:color w:val="auto"/>
                <w:highlight w:val="none"/>
              </w:rPr>
              <w:t>或组织机构代码证</w:t>
            </w:r>
          </w:p>
        </w:tc>
        <w:tc>
          <w:tcPr>
            <w:tcW w:w="6416" w:type="dxa"/>
            <w:tcBorders>
              <w:top w:val="single" w:color="auto" w:sz="4" w:space="0"/>
              <w:left w:val="single" w:color="auto" w:sz="4" w:space="0"/>
              <w:bottom w:val="single" w:color="auto" w:sz="4" w:space="0"/>
            </w:tcBorders>
          </w:tcPr>
          <w:p w14:paraId="7FE984AE">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具备有效的营业执照或事业单位法人资格证书</w:t>
            </w:r>
            <w:r>
              <w:rPr>
                <w:rFonts w:hint="eastAsia" w:ascii="宋体" w:hAnsi="宋体" w:cs="宋体"/>
                <w:color w:val="auto"/>
                <w:highlight w:val="none"/>
                <w:lang w:val="en-US" w:eastAsia="zh-CN"/>
              </w:rPr>
              <w:t>或</w:t>
            </w:r>
            <w:r>
              <w:rPr>
                <w:rFonts w:hint="eastAsia" w:ascii="宋体" w:hAnsi="宋体" w:cs="宋体"/>
                <w:color w:val="auto"/>
                <w:highlight w:val="none"/>
              </w:rPr>
              <w:t>组织机构代码证原件复印件加盖单位公章</w:t>
            </w:r>
          </w:p>
        </w:tc>
      </w:tr>
      <w:tr w14:paraId="0334BA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893" w:type="dxa"/>
            <w:vMerge w:val="continue"/>
            <w:tcBorders>
              <w:right w:val="single" w:color="auto" w:sz="4" w:space="0"/>
            </w:tcBorders>
            <w:vAlign w:val="center"/>
          </w:tcPr>
          <w:p w14:paraId="2D09B25E">
            <w:pPr>
              <w:shd w:val="clear"/>
              <w:spacing w:line="360" w:lineRule="auto"/>
              <w:rPr>
                <w:rFonts w:ascii="宋体" w:hAnsi="宋体" w:cs="宋体"/>
                <w:color w:val="auto"/>
                <w:highlight w:val="none"/>
              </w:rPr>
            </w:pPr>
          </w:p>
        </w:tc>
        <w:tc>
          <w:tcPr>
            <w:tcW w:w="2149" w:type="dxa"/>
            <w:tcBorders>
              <w:top w:val="single" w:color="auto" w:sz="4" w:space="0"/>
              <w:left w:val="single" w:color="auto" w:sz="4" w:space="0"/>
              <w:bottom w:val="single" w:color="auto" w:sz="4" w:space="0"/>
              <w:right w:val="single" w:color="auto" w:sz="4" w:space="0"/>
            </w:tcBorders>
            <w:vAlign w:val="center"/>
          </w:tcPr>
          <w:p w14:paraId="5653E0FF">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资</w:t>
            </w:r>
            <w:r>
              <w:rPr>
                <w:rFonts w:hint="eastAsia" w:ascii="宋体" w:hAnsi="宋体" w:cs="宋体"/>
                <w:color w:val="auto"/>
                <w:highlight w:val="none"/>
                <w:lang w:val="en-US" w:eastAsia="zh-CN"/>
              </w:rPr>
              <w:t>格</w:t>
            </w:r>
            <w:r>
              <w:rPr>
                <w:rFonts w:hint="eastAsia" w:ascii="宋体" w:hAnsi="宋体" w:cs="宋体"/>
                <w:color w:val="auto"/>
                <w:highlight w:val="none"/>
              </w:rPr>
              <w:t>条件</w:t>
            </w:r>
          </w:p>
        </w:tc>
        <w:tc>
          <w:tcPr>
            <w:tcW w:w="6416" w:type="dxa"/>
            <w:tcBorders>
              <w:top w:val="single" w:color="auto" w:sz="4" w:space="0"/>
              <w:left w:val="single" w:color="auto" w:sz="4" w:space="0"/>
              <w:bottom w:val="single" w:color="auto" w:sz="4" w:space="0"/>
            </w:tcBorders>
          </w:tcPr>
          <w:p w14:paraId="1D0D4044">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符合招标公告投标人资格要求中列明的要求</w:t>
            </w:r>
          </w:p>
        </w:tc>
      </w:tr>
      <w:tr w14:paraId="7F1EEB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893" w:type="dxa"/>
            <w:vMerge w:val="restart"/>
            <w:tcBorders>
              <w:top w:val="single" w:color="auto" w:sz="4" w:space="0"/>
              <w:right w:val="single" w:color="auto" w:sz="4" w:space="0"/>
            </w:tcBorders>
            <w:vAlign w:val="center"/>
          </w:tcPr>
          <w:p w14:paraId="6DB22ED7">
            <w:pPr>
              <w:shd w:val="clear"/>
              <w:spacing w:line="360" w:lineRule="auto"/>
              <w:rPr>
                <w:rFonts w:ascii="宋体" w:hAnsi="宋体" w:cs="宋体"/>
                <w:color w:val="auto"/>
                <w:highlight w:val="none"/>
              </w:rPr>
            </w:pPr>
            <w:r>
              <w:rPr>
                <w:rFonts w:hint="eastAsia" w:ascii="宋体" w:hAnsi="宋体" w:cs="宋体"/>
                <w:color w:val="auto"/>
                <w:highlight w:val="none"/>
              </w:rPr>
              <w:t>符合性评审</w:t>
            </w:r>
          </w:p>
        </w:tc>
        <w:tc>
          <w:tcPr>
            <w:tcW w:w="2149" w:type="dxa"/>
            <w:tcBorders>
              <w:top w:val="single" w:color="auto" w:sz="4" w:space="0"/>
              <w:left w:val="single" w:color="auto" w:sz="4" w:space="0"/>
              <w:bottom w:val="single" w:color="auto" w:sz="4" w:space="0"/>
              <w:right w:val="single" w:color="auto" w:sz="4" w:space="0"/>
            </w:tcBorders>
            <w:vAlign w:val="center"/>
          </w:tcPr>
          <w:p w14:paraId="1772D255">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投标人名称</w:t>
            </w:r>
          </w:p>
        </w:tc>
        <w:tc>
          <w:tcPr>
            <w:tcW w:w="6416" w:type="dxa"/>
            <w:tcBorders>
              <w:top w:val="single" w:color="auto" w:sz="4" w:space="0"/>
              <w:left w:val="single" w:color="auto" w:sz="4" w:space="0"/>
              <w:bottom w:val="single" w:color="auto" w:sz="4" w:space="0"/>
            </w:tcBorders>
          </w:tcPr>
          <w:p w14:paraId="174A8322">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与营业执照或组织机构代码证</w:t>
            </w:r>
            <w:r>
              <w:rPr>
                <w:rFonts w:hint="eastAsia" w:ascii="宋体" w:hAnsi="宋体" w:cs="宋体"/>
                <w:color w:val="auto"/>
                <w:highlight w:val="none"/>
                <w:lang w:val="en-US" w:eastAsia="zh-CN"/>
              </w:rPr>
              <w:t>及</w:t>
            </w:r>
            <w:r>
              <w:rPr>
                <w:rFonts w:hint="eastAsia" w:ascii="宋体" w:hAnsi="宋体" w:cs="宋体"/>
                <w:color w:val="auto"/>
                <w:highlight w:val="none"/>
              </w:rPr>
              <w:t>资</w:t>
            </w:r>
            <w:r>
              <w:rPr>
                <w:rFonts w:hint="eastAsia" w:ascii="宋体" w:hAnsi="宋体" w:cs="宋体"/>
                <w:color w:val="auto"/>
                <w:highlight w:val="none"/>
                <w:lang w:val="en-US" w:eastAsia="zh-CN"/>
              </w:rPr>
              <w:t>格条件要求的证书</w:t>
            </w:r>
            <w:r>
              <w:rPr>
                <w:rFonts w:hint="eastAsia" w:ascii="宋体" w:hAnsi="宋体" w:cs="宋体"/>
                <w:color w:val="auto"/>
                <w:highlight w:val="none"/>
              </w:rPr>
              <w:t>一致</w:t>
            </w:r>
          </w:p>
        </w:tc>
      </w:tr>
      <w:tr w14:paraId="32A470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893" w:type="dxa"/>
            <w:vMerge w:val="continue"/>
            <w:tcBorders>
              <w:right w:val="single" w:color="auto" w:sz="4" w:space="0"/>
            </w:tcBorders>
            <w:vAlign w:val="center"/>
          </w:tcPr>
          <w:p w14:paraId="70D7C49B">
            <w:pPr>
              <w:shd w:val="clear"/>
              <w:spacing w:line="360" w:lineRule="auto"/>
              <w:rPr>
                <w:rFonts w:ascii="宋体" w:hAnsi="宋体" w:cs="宋体"/>
                <w:color w:val="auto"/>
                <w:highlight w:val="none"/>
              </w:rPr>
            </w:pPr>
          </w:p>
        </w:tc>
        <w:tc>
          <w:tcPr>
            <w:tcW w:w="2149" w:type="dxa"/>
            <w:tcBorders>
              <w:top w:val="single" w:color="auto" w:sz="4" w:space="0"/>
              <w:left w:val="single" w:color="auto" w:sz="4" w:space="0"/>
              <w:bottom w:val="single" w:color="auto" w:sz="4" w:space="0"/>
              <w:right w:val="single" w:color="auto" w:sz="4" w:space="0"/>
            </w:tcBorders>
            <w:vAlign w:val="center"/>
          </w:tcPr>
          <w:p w14:paraId="0C9E5CEB">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投标函签字或盖章</w:t>
            </w:r>
          </w:p>
        </w:tc>
        <w:tc>
          <w:tcPr>
            <w:tcW w:w="6416" w:type="dxa"/>
            <w:tcBorders>
              <w:top w:val="single" w:color="auto" w:sz="4" w:space="0"/>
              <w:left w:val="single" w:color="auto" w:sz="4" w:space="0"/>
              <w:bottom w:val="single" w:color="auto" w:sz="4" w:space="0"/>
            </w:tcBorders>
          </w:tcPr>
          <w:p w14:paraId="4DE21E85">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符合“投标函”格式要求</w:t>
            </w:r>
          </w:p>
        </w:tc>
      </w:tr>
      <w:tr w14:paraId="205647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893" w:type="dxa"/>
            <w:vMerge w:val="continue"/>
            <w:tcBorders>
              <w:right w:val="single" w:color="auto" w:sz="4" w:space="0"/>
            </w:tcBorders>
            <w:vAlign w:val="center"/>
          </w:tcPr>
          <w:p w14:paraId="5F891C52">
            <w:pPr>
              <w:shd w:val="clear"/>
              <w:spacing w:line="360" w:lineRule="auto"/>
              <w:rPr>
                <w:rFonts w:ascii="宋体" w:hAnsi="宋体" w:cs="宋体"/>
                <w:color w:val="auto"/>
                <w:highlight w:val="none"/>
              </w:rPr>
            </w:pPr>
          </w:p>
        </w:tc>
        <w:tc>
          <w:tcPr>
            <w:tcW w:w="2149" w:type="dxa"/>
            <w:tcBorders>
              <w:top w:val="single" w:color="auto" w:sz="4" w:space="0"/>
              <w:left w:val="single" w:color="auto" w:sz="4" w:space="0"/>
              <w:bottom w:val="single" w:color="auto" w:sz="4" w:space="0"/>
              <w:right w:val="single" w:color="auto" w:sz="4" w:space="0"/>
            </w:tcBorders>
            <w:vAlign w:val="center"/>
          </w:tcPr>
          <w:p w14:paraId="7AF6E2F1">
            <w:pPr>
              <w:shd w:val="clear"/>
              <w:spacing w:before="100" w:beforeAutospacing="1" w:after="100" w:afterAutospacing="1" w:line="360" w:lineRule="auto"/>
              <w:jc w:val="center"/>
              <w:rPr>
                <w:rFonts w:hint="eastAsia" w:ascii="宋体" w:hAnsi="宋体" w:eastAsia="宋体" w:cs="宋体"/>
                <w:color w:val="auto"/>
                <w:highlight w:val="none"/>
                <w:lang w:eastAsia="zh-CN"/>
              </w:rPr>
            </w:pPr>
            <w:r>
              <w:rPr>
                <w:rFonts w:hint="eastAsia" w:ascii="宋体" w:hAnsi="宋体" w:cs="宋体"/>
                <w:color w:val="auto"/>
                <w:highlight w:val="none"/>
              </w:rPr>
              <w:t>报价唯一</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如有</w:t>
            </w:r>
            <w:r>
              <w:rPr>
                <w:rFonts w:hint="eastAsia" w:ascii="宋体" w:hAnsi="宋体" w:cs="宋体"/>
                <w:color w:val="auto"/>
                <w:highlight w:val="none"/>
                <w:lang w:eastAsia="zh-CN"/>
              </w:rPr>
              <w:t>）</w:t>
            </w:r>
          </w:p>
        </w:tc>
        <w:tc>
          <w:tcPr>
            <w:tcW w:w="6416" w:type="dxa"/>
            <w:tcBorders>
              <w:top w:val="single" w:color="auto" w:sz="4" w:space="0"/>
              <w:left w:val="single" w:color="auto" w:sz="4" w:space="0"/>
              <w:bottom w:val="single" w:color="auto" w:sz="4" w:space="0"/>
            </w:tcBorders>
          </w:tcPr>
          <w:p w14:paraId="78075263">
            <w:pPr>
              <w:shd w:val="clear"/>
              <w:spacing w:before="100" w:beforeAutospacing="1" w:after="100" w:afterAutospacing="1" w:line="360" w:lineRule="auto"/>
              <w:ind w:leftChars="-7" w:hanging="14" w:hangingChars="7"/>
              <w:rPr>
                <w:rFonts w:ascii="宋体" w:hAnsi="宋体" w:cs="宋体"/>
                <w:color w:val="auto"/>
                <w:highlight w:val="none"/>
              </w:rPr>
            </w:pPr>
            <w:r>
              <w:rPr>
                <w:rFonts w:hint="eastAsia" w:ascii="宋体" w:hAnsi="宋体" w:cs="宋体"/>
                <w:bCs/>
                <w:color w:val="auto"/>
                <w:highlight w:val="none"/>
              </w:rPr>
              <w:t>只能有一个有效投标报价，且不得</w:t>
            </w:r>
            <w:r>
              <w:rPr>
                <w:rFonts w:hint="eastAsia" w:ascii="宋体" w:hAnsi="宋体" w:cs="宋体"/>
                <w:bCs/>
                <w:color w:val="auto"/>
                <w:highlight w:val="none"/>
                <w:lang w:val="en-US" w:eastAsia="zh-CN"/>
              </w:rPr>
              <w:t>超过</w:t>
            </w:r>
            <w:r>
              <w:rPr>
                <w:rFonts w:hint="eastAsia" w:ascii="宋体" w:hAnsi="宋体" w:cs="宋体"/>
                <w:bCs/>
                <w:color w:val="auto"/>
                <w:highlight w:val="none"/>
              </w:rPr>
              <w:t>最高投标限价</w:t>
            </w:r>
          </w:p>
        </w:tc>
      </w:tr>
      <w:tr w14:paraId="3DECD7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6" w:hRule="atLeast"/>
          <w:jc w:val="center"/>
        </w:trPr>
        <w:tc>
          <w:tcPr>
            <w:tcW w:w="893" w:type="dxa"/>
            <w:vMerge w:val="continue"/>
            <w:tcBorders>
              <w:right w:val="single" w:color="auto" w:sz="4" w:space="0"/>
            </w:tcBorders>
            <w:vAlign w:val="center"/>
          </w:tcPr>
          <w:p w14:paraId="2A002313">
            <w:pPr>
              <w:shd w:val="clear"/>
              <w:spacing w:line="360" w:lineRule="auto"/>
              <w:rPr>
                <w:rFonts w:ascii="宋体" w:hAnsi="宋体" w:cs="宋体"/>
                <w:color w:val="auto"/>
                <w:highlight w:val="none"/>
              </w:rPr>
            </w:pPr>
          </w:p>
        </w:tc>
        <w:tc>
          <w:tcPr>
            <w:tcW w:w="2149" w:type="dxa"/>
            <w:tcBorders>
              <w:top w:val="single" w:color="auto" w:sz="4" w:space="0"/>
              <w:left w:val="single" w:color="auto" w:sz="4" w:space="0"/>
              <w:bottom w:val="single" w:color="auto" w:sz="4" w:space="0"/>
              <w:right w:val="single" w:color="auto" w:sz="4" w:space="0"/>
            </w:tcBorders>
            <w:vAlign w:val="center"/>
          </w:tcPr>
          <w:p w14:paraId="6C67D9E5">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服务期限</w:t>
            </w:r>
          </w:p>
        </w:tc>
        <w:tc>
          <w:tcPr>
            <w:tcW w:w="6416" w:type="dxa"/>
            <w:tcBorders>
              <w:top w:val="single" w:color="auto" w:sz="4" w:space="0"/>
              <w:left w:val="single" w:color="auto" w:sz="4" w:space="0"/>
              <w:bottom w:val="single" w:color="auto" w:sz="4" w:space="0"/>
            </w:tcBorders>
          </w:tcPr>
          <w:p w14:paraId="78A2F0A5">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符合第二章“投标人须知前附表”第1.3.2项规定</w:t>
            </w:r>
          </w:p>
        </w:tc>
      </w:tr>
      <w:tr w14:paraId="249948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1" w:hRule="atLeast"/>
          <w:jc w:val="center"/>
        </w:trPr>
        <w:tc>
          <w:tcPr>
            <w:tcW w:w="893" w:type="dxa"/>
            <w:vMerge w:val="continue"/>
            <w:tcBorders>
              <w:right w:val="single" w:color="auto" w:sz="4" w:space="0"/>
            </w:tcBorders>
            <w:vAlign w:val="center"/>
          </w:tcPr>
          <w:p w14:paraId="42216DD3">
            <w:pPr>
              <w:shd w:val="clear"/>
              <w:spacing w:line="360" w:lineRule="auto"/>
              <w:rPr>
                <w:rFonts w:ascii="宋体" w:hAnsi="宋体" w:cs="宋体"/>
                <w:color w:val="auto"/>
                <w:highlight w:val="none"/>
              </w:rPr>
            </w:pPr>
          </w:p>
        </w:tc>
        <w:tc>
          <w:tcPr>
            <w:tcW w:w="2149" w:type="dxa"/>
            <w:tcBorders>
              <w:top w:val="single" w:color="auto" w:sz="4" w:space="0"/>
              <w:left w:val="single" w:color="auto" w:sz="4" w:space="0"/>
              <w:bottom w:val="single" w:color="auto" w:sz="4" w:space="0"/>
              <w:right w:val="single" w:color="auto" w:sz="4" w:space="0"/>
            </w:tcBorders>
            <w:vAlign w:val="center"/>
          </w:tcPr>
          <w:p w14:paraId="2B6B356E">
            <w:pPr>
              <w:shd w:val="clear"/>
              <w:spacing w:before="100" w:beforeAutospacing="1" w:after="100" w:afterAutospacing="1" w:line="360" w:lineRule="auto"/>
              <w:jc w:val="center"/>
              <w:rPr>
                <w:rFonts w:ascii="宋体" w:hAnsi="宋体" w:cs="宋体"/>
                <w:color w:val="auto"/>
                <w:highlight w:val="none"/>
              </w:rPr>
            </w:pPr>
            <w:r>
              <w:rPr>
                <w:rFonts w:hint="eastAsia" w:ascii="宋体" w:hAnsi="宋体" w:cs="宋体"/>
                <w:color w:val="auto"/>
                <w:highlight w:val="none"/>
              </w:rPr>
              <w:t>质量标准</w:t>
            </w:r>
          </w:p>
        </w:tc>
        <w:tc>
          <w:tcPr>
            <w:tcW w:w="6416" w:type="dxa"/>
            <w:tcBorders>
              <w:top w:val="single" w:color="auto" w:sz="4" w:space="0"/>
              <w:left w:val="single" w:color="auto" w:sz="4" w:space="0"/>
              <w:bottom w:val="single" w:color="auto" w:sz="4" w:space="0"/>
            </w:tcBorders>
          </w:tcPr>
          <w:p w14:paraId="01DB6E7F">
            <w:pPr>
              <w:shd w:val="clear"/>
              <w:spacing w:before="100" w:beforeAutospacing="1" w:after="100" w:afterAutospacing="1" w:line="360" w:lineRule="auto"/>
              <w:rPr>
                <w:rFonts w:ascii="宋体" w:hAnsi="宋体" w:cs="宋体"/>
                <w:color w:val="auto"/>
                <w:highlight w:val="none"/>
              </w:rPr>
            </w:pPr>
            <w:r>
              <w:rPr>
                <w:rFonts w:hint="eastAsia" w:ascii="宋体" w:hAnsi="宋体" w:cs="宋体"/>
                <w:color w:val="auto"/>
                <w:highlight w:val="none"/>
              </w:rPr>
              <w:t>符合第二章“投标人须知前附表”第1.3.3项规定</w:t>
            </w:r>
          </w:p>
        </w:tc>
      </w:tr>
    </w:tbl>
    <w:p w14:paraId="428C4BB5">
      <w:pPr>
        <w:shd w:val="clear"/>
        <w:spacing w:line="360" w:lineRule="auto"/>
        <w:rPr>
          <w:rFonts w:ascii="宋体" w:hAnsi="宋体" w:cs="宋体"/>
          <w:b/>
          <w:color w:val="auto"/>
          <w:highlight w:val="none"/>
        </w:rPr>
      </w:pPr>
      <w:r>
        <w:rPr>
          <w:rFonts w:hint="eastAsia" w:ascii="宋体" w:hAnsi="宋体" w:cs="宋体"/>
          <w:b/>
          <w:bCs/>
          <w:color w:val="auto"/>
          <w:highlight w:val="none"/>
        </w:rPr>
        <w:t>以上参与评审的证书、证件等资料须要提供原件的复印件须加盖公章胶装在投标文件中（特别说明的除外）。</w:t>
      </w:r>
      <w:r>
        <w:rPr>
          <w:rFonts w:hint="eastAsia" w:ascii="宋体" w:hAnsi="宋体" w:cs="宋体"/>
          <w:b/>
          <w:color w:val="auto"/>
          <w:highlight w:val="none"/>
        </w:rPr>
        <w:t xml:space="preserve"> </w:t>
      </w:r>
      <w:bookmarkStart w:id="301" w:name="_Toc493081618"/>
    </w:p>
    <w:p w14:paraId="15F08A9B">
      <w:pPr>
        <w:shd w:val="clear"/>
        <w:spacing w:after="120" w:line="360" w:lineRule="auto"/>
        <w:ind w:left="420" w:leftChars="200" w:firstLine="420" w:firstLineChars="200"/>
        <w:rPr>
          <w:rFonts w:ascii="宋体" w:hAnsi="宋体" w:cs="宋体"/>
          <w:b/>
          <w:color w:val="auto"/>
          <w:highlight w:val="none"/>
        </w:rPr>
      </w:pPr>
    </w:p>
    <w:p w14:paraId="389C3420">
      <w:pPr>
        <w:shd w:val="clear"/>
        <w:spacing w:after="120" w:line="360" w:lineRule="auto"/>
        <w:ind w:left="420" w:leftChars="200" w:firstLine="420" w:firstLineChars="200"/>
        <w:rPr>
          <w:rFonts w:ascii="宋体" w:hAnsi="宋体" w:cs="宋体"/>
          <w:b/>
          <w:color w:val="auto"/>
          <w:highlight w:val="none"/>
        </w:rPr>
      </w:pPr>
    </w:p>
    <w:p w14:paraId="6F5ED3A3">
      <w:pPr>
        <w:shd w:val="clear"/>
        <w:spacing w:after="120" w:line="360" w:lineRule="auto"/>
        <w:ind w:left="420" w:leftChars="200" w:firstLine="420" w:firstLineChars="200"/>
        <w:rPr>
          <w:rFonts w:ascii="宋体" w:hAnsi="宋体" w:cs="宋体"/>
          <w:b/>
          <w:color w:val="auto"/>
          <w:highlight w:val="none"/>
        </w:rPr>
      </w:pPr>
    </w:p>
    <w:p w14:paraId="7D23F513">
      <w:pPr>
        <w:shd w:val="clear"/>
        <w:spacing w:after="120" w:line="360" w:lineRule="auto"/>
        <w:ind w:left="420" w:leftChars="200" w:firstLine="420" w:firstLineChars="200"/>
        <w:rPr>
          <w:rFonts w:ascii="宋体" w:hAnsi="宋体" w:cs="宋体"/>
          <w:b/>
          <w:color w:val="auto"/>
          <w:highlight w:val="none"/>
        </w:rPr>
      </w:pPr>
    </w:p>
    <w:p w14:paraId="6C5FFFE1">
      <w:pPr>
        <w:shd w:val="clear"/>
        <w:spacing w:after="120" w:line="360" w:lineRule="auto"/>
        <w:ind w:left="420" w:leftChars="200" w:firstLine="420" w:firstLineChars="200"/>
        <w:rPr>
          <w:rFonts w:ascii="宋体" w:hAnsi="宋体" w:cs="宋体"/>
          <w:b/>
          <w:color w:val="auto"/>
          <w:highlight w:val="none"/>
        </w:rPr>
      </w:pPr>
    </w:p>
    <w:p w14:paraId="63ED84C9">
      <w:pPr>
        <w:shd w:val="clear"/>
        <w:tabs>
          <w:tab w:val="left" w:pos="6090"/>
        </w:tabs>
        <w:spacing w:after="120" w:line="360" w:lineRule="auto"/>
        <w:ind w:left="420" w:leftChars="200" w:firstLine="420" w:firstLineChars="200"/>
        <w:rPr>
          <w:rFonts w:ascii="宋体" w:hAnsi="宋体" w:cs="宋体"/>
          <w:b/>
          <w:color w:val="auto"/>
          <w:highlight w:val="none"/>
        </w:rPr>
      </w:pPr>
      <w:r>
        <w:rPr>
          <w:rFonts w:hint="eastAsia" w:ascii="宋体" w:hAnsi="宋体" w:cs="宋体"/>
          <w:b/>
          <w:color w:val="auto"/>
          <w:highlight w:val="none"/>
        </w:rPr>
        <w:tab/>
      </w:r>
    </w:p>
    <w:bookmarkEnd w:id="301"/>
    <w:p w14:paraId="6B4991F4">
      <w:pPr>
        <w:widowControl/>
        <w:shd w:val="clear"/>
        <w:spacing w:line="360" w:lineRule="auto"/>
        <w:ind w:firstLine="480" w:firstLineChars="200"/>
        <w:jc w:val="center"/>
        <w:rPr>
          <w:rFonts w:ascii="宋体" w:hAnsi="宋体" w:cs="宋体"/>
          <w:b/>
          <w:color w:val="auto"/>
          <w:sz w:val="24"/>
          <w:szCs w:val="24"/>
          <w:highlight w:val="none"/>
        </w:rPr>
      </w:pPr>
      <w:bookmarkStart w:id="302" w:name="_Toc363551777"/>
    </w:p>
    <w:p w14:paraId="4A64373A">
      <w:pPr>
        <w:widowControl/>
        <w:shd w:val="clear"/>
        <w:spacing w:line="360" w:lineRule="auto"/>
        <w:ind w:firstLine="0" w:firstLineChars="0"/>
        <w:jc w:val="both"/>
        <w:rPr>
          <w:rFonts w:ascii="宋体" w:hAnsi="宋体" w:cs="宋体"/>
          <w:b/>
          <w:color w:val="auto"/>
          <w:sz w:val="24"/>
          <w:szCs w:val="24"/>
          <w:highlight w:val="none"/>
        </w:rPr>
      </w:pPr>
    </w:p>
    <w:p w14:paraId="74EEF161">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433D1A1B">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2F0A611A">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6FDB713B">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5EE86BAB">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53496463">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1B599F35">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hint="eastAsia" w:ascii="宋体" w:hAnsi="Calibri"/>
          <w:b/>
          <w:color w:val="auto"/>
          <w:sz w:val="24"/>
          <w:szCs w:val="24"/>
          <w:highlight w:val="none"/>
        </w:rPr>
      </w:pPr>
    </w:p>
    <w:p w14:paraId="22390E72">
      <w:pPr>
        <w:keepNext w:val="0"/>
        <w:keepLines w:val="0"/>
        <w:pageBreakBefore w:val="0"/>
        <w:widowControl w:val="0"/>
        <w:shd w:val="clear"/>
        <w:kinsoku/>
        <w:wordWrap/>
        <w:overflowPunct/>
        <w:topLinePunct w:val="0"/>
        <w:autoSpaceDE/>
        <w:autoSpaceDN/>
        <w:bidi w:val="0"/>
        <w:adjustRightInd/>
        <w:snapToGrid/>
        <w:spacing w:line="360" w:lineRule="auto"/>
        <w:ind w:firstLine="240" w:firstLineChars="100"/>
        <w:jc w:val="center"/>
        <w:textAlignment w:val="auto"/>
        <w:rPr>
          <w:rFonts w:ascii="宋体" w:hAnsi="Calibri"/>
          <w:b/>
          <w:color w:val="auto"/>
          <w:sz w:val="24"/>
          <w:szCs w:val="24"/>
          <w:highlight w:val="none"/>
        </w:rPr>
      </w:pPr>
      <w:r>
        <w:rPr>
          <w:rFonts w:hint="eastAsia" w:ascii="宋体" w:hAnsi="Calibri"/>
          <w:b/>
          <w:color w:val="auto"/>
          <w:sz w:val="24"/>
          <w:szCs w:val="24"/>
          <w:highlight w:val="none"/>
        </w:rPr>
        <w:t>综合评</w:t>
      </w:r>
      <w:r>
        <w:rPr>
          <w:rFonts w:hint="eastAsia" w:ascii="宋体" w:hAnsi="Calibri"/>
          <w:b/>
          <w:color w:val="auto"/>
          <w:sz w:val="24"/>
          <w:szCs w:val="24"/>
          <w:highlight w:val="none"/>
          <w:lang w:val="en-US" w:eastAsia="zh-CN"/>
        </w:rPr>
        <w:t>分</w:t>
      </w:r>
      <w:r>
        <w:rPr>
          <w:rFonts w:hint="eastAsia" w:ascii="宋体" w:hAnsi="Calibri"/>
          <w:b/>
          <w:color w:val="auto"/>
          <w:sz w:val="24"/>
          <w:szCs w:val="24"/>
          <w:highlight w:val="none"/>
        </w:rPr>
        <w:t>表</w:t>
      </w:r>
    </w:p>
    <w:tbl>
      <w:tblPr>
        <w:tblStyle w:val="15"/>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32"/>
        <w:gridCol w:w="988"/>
        <w:gridCol w:w="1124"/>
        <w:gridCol w:w="6812"/>
      </w:tblGrid>
      <w:tr w14:paraId="67DB0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6" w:hRule="atLeast"/>
          <w:jc w:val="center"/>
        </w:trPr>
        <w:tc>
          <w:tcPr>
            <w:tcW w:w="426" w:type="pct"/>
            <w:tcMar>
              <w:top w:w="12" w:type="dxa"/>
              <w:left w:w="12" w:type="dxa"/>
              <w:right w:w="12" w:type="dxa"/>
            </w:tcMar>
            <w:vAlign w:val="center"/>
          </w:tcPr>
          <w:p w14:paraId="011B164C">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序号</w:t>
            </w:r>
          </w:p>
        </w:tc>
        <w:tc>
          <w:tcPr>
            <w:tcW w:w="1082" w:type="pct"/>
            <w:gridSpan w:val="2"/>
            <w:tcMar>
              <w:top w:w="12" w:type="dxa"/>
              <w:left w:w="12" w:type="dxa"/>
              <w:right w:w="12" w:type="dxa"/>
            </w:tcMar>
            <w:vAlign w:val="center"/>
          </w:tcPr>
          <w:p w14:paraId="66ED7725">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评分项</w:t>
            </w:r>
          </w:p>
        </w:tc>
        <w:tc>
          <w:tcPr>
            <w:tcW w:w="3490" w:type="pct"/>
            <w:tcMar>
              <w:top w:w="12" w:type="dxa"/>
              <w:left w:w="12" w:type="dxa"/>
              <w:right w:w="12" w:type="dxa"/>
            </w:tcMar>
            <w:vAlign w:val="center"/>
          </w:tcPr>
          <w:p w14:paraId="73DAE2D6">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评分标准</w:t>
            </w:r>
          </w:p>
        </w:tc>
      </w:tr>
      <w:tr w14:paraId="4B58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26" w:type="pct"/>
            <w:tcMar>
              <w:top w:w="12" w:type="dxa"/>
              <w:left w:w="12" w:type="dxa"/>
              <w:right w:w="12" w:type="dxa"/>
            </w:tcMar>
            <w:vAlign w:val="center"/>
          </w:tcPr>
          <w:p w14:paraId="02808994">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1</w:t>
            </w:r>
          </w:p>
        </w:tc>
        <w:tc>
          <w:tcPr>
            <w:tcW w:w="506" w:type="pct"/>
            <w:tcMar>
              <w:top w:w="12" w:type="dxa"/>
              <w:left w:w="12" w:type="dxa"/>
              <w:right w:w="12" w:type="dxa"/>
            </w:tcMar>
            <w:vAlign w:val="center"/>
          </w:tcPr>
          <w:p w14:paraId="5018E75C">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服务业绩</w:t>
            </w:r>
          </w:p>
          <w:p w14:paraId="0E5C368F">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w:t>
            </w:r>
            <w:r>
              <w:rPr>
                <w:rFonts w:hint="eastAsia" w:ascii="宋体" w:hAnsi="宋体" w:cs="宋体"/>
                <w:color w:val="auto"/>
                <w:kern w:val="0"/>
                <w:highlight w:val="none"/>
                <w:lang w:val="en-US" w:bidi="zh-CN"/>
              </w:rPr>
              <w:t>50</w:t>
            </w:r>
            <w:r>
              <w:rPr>
                <w:rFonts w:hint="eastAsia" w:ascii="宋体" w:hAnsi="宋体" w:eastAsia="宋体" w:cs="宋体"/>
                <w:color w:val="auto"/>
                <w:kern w:val="0"/>
                <w:highlight w:val="none"/>
                <w:lang w:val="zh-CN" w:bidi="zh-CN"/>
              </w:rPr>
              <w:t>分）</w:t>
            </w:r>
          </w:p>
        </w:tc>
        <w:tc>
          <w:tcPr>
            <w:tcW w:w="576" w:type="pct"/>
            <w:tcMar>
              <w:top w:w="12" w:type="dxa"/>
              <w:left w:w="12" w:type="dxa"/>
              <w:right w:w="12" w:type="dxa"/>
            </w:tcMar>
            <w:vAlign w:val="center"/>
          </w:tcPr>
          <w:p w14:paraId="3388BDEF">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cs="宋体"/>
                <w:color w:val="auto"/>
                <w:kern w:val="0"/>
                <w:highlight w:val="none"/>
                <w:lang w:val="en-US" w:bidi="zh-CN"/>
              </w:rPr>
              <w:t>投标人</w:t>
            </w:r>
            <w:r>
              <w:rPr>
                <w:rFonts w:hint="eastAsia" w:ascii="宋体" w:hAnsi="宋体" w:eastAsia="宋体" w:cs="宋体"/>
                <w:color w:val="auto"/>
                <w:kern w:val="0"/>
                <w:highlight w:val="none"/>
                <w:lang w:val="zh-CN" w:bidi="zh-CN"/>
              </w:rPr>
              <w:t>服务案例</w:t>
            </w:r>
          </w:p>
          <w:p w14:paraId="5128D04E">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w:t>
            </w:r>
            <w:r>
              <w:rPr>
                <w:rFonts w:hint="eastAsia" w:ascii="宋体" w:hAnsi="宋体" w:cs="宋体"/>
                <w:color w:val="auto"/>
                <w:kern w:val="0"/>
                <w:highlight w:val="none"/>
                <w:lang w:val="en-US" w:bidi="zh-CN"/>
              </w:rPr>
              <w:t>50</w:t>
            </w:r>
            <w:r>
              <w:rPr>
                <w:rFonts w:hint="eastAsia" w:ascii="宋体" w:hAnsi="宋体" w:eastAsia="宋体" w:cs="宋体"/>
                <w:color w:val="auto"/>
                <w:kern w:val="0"/>
                <w:highlight w:val="none"/>
                <w:lang w:val="zh-CN" w:bidi="zh-CN"/>
              </w:rPr>
              <w:t>分）</w:t>
            </w:r>
          </w:p>
        </w:tc>
        <w:tc>
          <w:tcPr>
            <w:tcW w:w="3490" w:type="pct"/>
            <w:tcMar>
              <w:top w:w="12" w:type="dxa"/>
              <w:left w:w="12" w:type="dxa"/>
              <w:right w:w="12" w:type="dxa"/>
            </w:tcMar>
            <w:vAlign w:val="center"/>
          </w:tcPr>
          <w:p w14:paraId="4137D077">
            <w:pPr>
              <w:widowControl/>
              <w:numPr>
                <w:ilvl w:val="0"/>
                <w:numId w:val="0"/>
              </w:numPr>
              <w:spacing w:line="276" w:lineRule="auto"/>
              <w:jc w:val="left"/>
              <w:textAlignment w:val="center"/>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1.</w:t>
            </w:r>
            <w:r>
              <w:rPr>
                <w:rFonts w:hint="eastAsia" w:ascii="宋体" w:hAnsi="宋体" w:eastAsia="宋体" w:cs="宋体"/>
                <w:color w:val="auto"/>
                <w:kern w:val="0"/>
                <w:highlight w:val="none"/>
                <w:lang w:val="zh-CN" w:bidi="zh-CN"/>
              </w:rPr>
              <w:t>近五年（2020年1月1日起至今，以合同签订日期为准）</w:t>
            </w:r>
            <w:r>
              <w:rPr>
                <w:rFonts w:hint="eastAsia" w:ascii="宋体" w:hAnsi="宋体" w:cs="宋体"/>
                <w:color w:val="auto"/>
                <w:kern w:val="0"/>
                <w:sz w:val="21"/>
                <w:szCs w:val="21"/>
                <w:highlight w:val="none"/>
                <w:lang w:val="en-US" w:eastAsia="zh-CN" w:bidi="zh-CN"/>
              </w:rPr>
              <w:t>具有</w:t>
            </w:r>
            <w:r>
              <w:rPr>
                <w:rFonts w:hint="eastAsia" w:ascii="宋体" w:hAnsi="宋体" w:eastAsia="宋体" w:cs="宋体"/>
                <w:color w:val="auto"/>
                <w:kern w:val="0"/>
                <w:sz w:val="21"/>
                <w:szCs w:val="21"/>
                <w:highlight w:val="none"/>
                <w:lang w:val="zh-CN" w:eastAsia="zh-CN" w:bidi="zh-CN"/>
              </w:rPr>
              <w:t>财务决算、</w:t>
            </w:r>
            <w:r>
              <w:rPr>
                <w:rFonts w:hint="eastAsia" w:ascii="宋体" w:hAnsi="宋体" w:cs="宋体"/>
                <w:color w:val="auto"/>
                <w:kern w:val="0"/>
                <w:sz w:val="21"/>
                <w:szCs w:val="21"/>
                <w:highlight w:val="none"/>
                <w:lang w:val="zh-CN" w:eastAsia="zh-CN" w:bidi="zh-CN"/>
              </w:rPr>
              <w:t>财务报表审计</w:t>
            </w:r>
            <w:r>
              <w:rPr>
                <w:rFonts w:hint="eastAsia" w:ascii="宋体" w:hAnsi="宋体" w:cs="宋体"/>
                <w:color w:val="auto"/>
                <w:kern w:val="0"/>
                <w:sz w:val="21"/>
                <w:szCs w:val="21"/>
                <w:highlight w:val="none"/>
                <w:lang w:val="en-US" w:eastAsia="zh-CN" w:bidi="zh-CN"/>
              </w:rPr>
              <w:t>等</w:t>
            </w:r>
            <w:r>
              <w:rPr>
                <w:rFonts w:hint="eastAsia" w:ascii="宋体" w:hAnsi="宋体" w:eastAsia="宋体" w:cs="宋体"/>
                <w:color w:val="auto"/>
                <w:kern w:val="0"/>
                <w:sz w:val="21"/>
                <w:szCs w:val="21"/>
                <w:highlight w:val="none"/>
                <w:lang w:val="zh-CN" w:eastAsia="zh-CN" w:bidi="zh-CN"/>
              </w:rPr>
              <w:t>服务</w:t>
            </w:r>
            <w:r>
              <w:rPr>
                <w:rFonts w:hint="eastAsia" w:ascii="宋体" w:hAnsi="宋体" w:cs="宋体"/>
                <w:color w:val="auto"/>
                <w:kern w:val="0"/>
                <w:sz w:val="21"/>
                <w:szCs w:val="21"/>
                <w:highlight w:val="none"/>
                <w:lang w:val="en-US" w:eastAsia="zh-CN" w:bidi="zh-CN"/>
              </w:rPr>
              <w:t>案例</w:t>
            </w:r>
            <w:r>
              <w:rPr>
                <w:rFonts w:hint="eastAsia" w:ascii="宋体" w:hAnsi="宋体" w:eastAsia="宋体" w:cs="宋体"/>
                <w:color w:val="auto"/>
                <w:kern w:val="0"/>
                <w:sz w:val="21"/>
                <w:szCs w:val="21"/>
                <w:highlight w:val="none"/>
                <w:lang w:val="zh-CN" w:eastAsia="zh-CN" w:bidi="zh-CN"/>
              </w:rPr>
              <w:t>的，每提供一个案例得</w:t>
            </w:r>
            <w:r>
              <w:rPr>
                <w:rFonts w:hint="eastAsia" w:ascii="宋体" w:hAnsi="宋体" w:eastAsia="宋体" w:cs="宋体"/>
                <w:color w:val="auto"/>
                <w:kern w:val="0"/>
                <w:sz w:val="21"/>
                <w:szCs w:val="21"/>
                <w:highlight w:val="none"/>
                <w:lang w:val="en-US" w:eastAsia="zh-CN" w:bidi="zh-CN"/>
              </w:rPr>
              <w:t>3</w:t>
            </w:r>
            <w:r>
              <w:rPr>
                <w:rFonts w:hint="eastAsia" w:ascii="宋体" w:hAnsi="宋体" w:eastAsia="宋体" w:cs="宋体"/>
                <w:color w:val="auto"/>
                <w:kern w:val="0"/>
                <w:sz w:val="21"/>
                <w:szCs w:val="21"/>
                <w:highlight w:val="none"/>
                <w:lang w:val="zh-CN" w:eastAsia="zh-CN" w:bidi="zh-CN"/>
              </w:rPr>
              <w:t>分，最高得</w:t>
            </w:r>
            <w:r>
              <w:rPr>
                <w:rFonts w:hint="eastAsia" w:ascii="宋体" w:hAnsi="宋体" w:eastAsia="宋体" w:cs="宋体"/>
                <w:color w:val="auto"/>
                <w:kern w:val="0"/>
                <w:sz w:val="21"/>
                <w:szCs w:val="21"/>
                <w:highlight w:val="none"/>
                <w:lang w:val="en-US" w:eastAsia="zh-CN" w:bidi="zh-CN"/>
              </w:rPr>
              <w:t>15</w:t>
            </w:r>
            <w:r>
              <w:rPr>
                <w:rFonts w:hint="eastAsia" w:ascii="宋体" w:hAnsi="宋体" w:eastAsia="宋体" w:cs="宋体"/>
                <w:color w:val="auto"/>
                <w:kern w:val="0"/>
                <w:sz w:val="21"/>
                <w:szCs w:val="21"/>
                <w:highlight w:val="none"/>
                <w:lang w:val="zh-CN" w:eastAsia="zh-CN" w:bidi="zh-CN"/>
              </w:rPr>
              <w:t>分；</w:t>
            </w:r>
          </w:p>
          <w:p w14:paraId="2F64A5D7">
            <w:pPr>
              <w:widowControl/>
              <w:numPr>
                <w:ilvl w:val="-1"/>
                <w:numId w:val="0"/>
              </w:numPr>
              <w:spacing w:line="276" w:lineRule="auto"/>
              <w:jc w:val="left"/>
              <w:textAlignment w:val="center"/>
              <w:rPr>
                <w:rFonts w:hint="default" w:ascii="宋体" w:hAnsi="宋体" w:eastAsia="宋体" w:cs="宋体"/>
                <w:color w:val="auto"/>
                <w:kern w:val="0"/>
                <w:sz w:val="21"/>
                <w:szCs w:val="21"/>
                <w:highlight w:val="none"/>
                <w:lang w:val="en-US" w:eastAsia="zh-CN" w:bidi="zh-CN"/>
              </w:rPr>
            </w:pPr>
            <w:r>
              <w:rPr>
                <w:rFonts w:hint="eastAsia" w:ascii="宋体" w:hAnsi="宋体" w:eastAsia="宋体" w:cs="宋体"/>
                <w:color w:val="auto"/>
                <w:kern w:val="0"/>
                <w:sz w:val="21"/>
                <w:szCs w:val="21"/>
                <w:highlight w:val="none"/>
                <w:lang w:val="en-US" w:eastAsia="zh-CN" w:bidi="zh-CN"/>
              </w:rPr>
              <w:t>2.</w:t>
            </w:r>
            <w:r>
              <w:rPr>
                <w:rFonts w:hint="eastAsia" w:ascii="宋体" w:hAnsi="宋体" w:eastAsia="宋体" w:cs="宋体"/>
                <w:color w:val="auto"/>
                <w:kern w:val="0"/>
                <w:highlight w:val="none"/>
                <w:lang w:val="zh-CN" w:bidi="zh-CN"/>
              </w:rPr>
              <w:t>近五年（2020年1月1日起至今，以合同签订日期为准）</w:t>
            </w:r>
            <w:r>
              <w:rPr>
                <w:rFonts w:hint="eastAsia" w:ascii="宋体" w:hAnsi="宋体" w:cs="宋体"/>
                <w:color w:val="auto"/>
                <w:kern w:val="0"/>
                <w:sz w:val="21"/>
                <w:szCs w:val="21"/>
                <w:highlight w:val="none"/>
                <w:lang w:val="en-US" w:eastAsia="zh-CN" w:bidi="zh-CN"/>
              </w:rPr>
              <w:t>具有</w:t>
            </w:r>
            <w:r>
              <w:rPr>
                <w:rFonts w:hint="eastAsia" w:ascii="宋体" w:hAnsi="宋体" w:eastAsia="宋体" w:cs="宋体"/>
                <w:color w:val="auto"/>
                <w:kern w:val="0"/>
                <w:sz w:val="21"/>
                <w:szCs w:val="21"/>
                <w:highlight w:val="none"/>
                <w:lang w:val="zh-CN" w:eastAsia="zh-CN" w:bidi="zh-CN"/>
              </w:rPr>
              <w:t>内部审计、内控管理、资产管理等专项审计服务</w:t>
            </w:r>
            <w:r>
              <w:rPr>
                <w:rFonts w:hint="eastAsia" w:ascii="宋体" w:hAnsi="宋体" w:cs="宋体"/>
                <w:color w:val="auto"/>
                <w:kern w:val="0"/>
                <w:sz w:val="21"/>
                <w:szCs w:val="21"/>
                <w:highlight w:val="none"/>
                <w:lang w:val="en-US" w:eastAsia="zh-CN" w:bidi="zh-CN"/>
              </w:rPr>
              <w:t>案例</w:t>
            </w:r>
            <w:r>
              <w:rPr>
                <w:rFonts w:hint="eastAsia" w:ascii="宋体" w:hAnsi="宋体" w:eastAsia="宋体" w:cs="宋体"/>
                <w:color w:val="auto"/>
                <w:kern w:val="0"/>
                <w:sz w:val="21"/>
                <w:szCs w:val="21"/>
                <w:highlight w:val="none"/>
                <w:lang w:val="zh-CN" w:eastAsia="zh-CN" w:bidi="zh-CN"/>
              </w:rPr>
              <w:t>的，每提供一个案例得</w:t>
            </w:r>
            <w:r>
              <w:rPr>
                <w:rFonts w:hint="eastAsia" w:ascii="宋体" w:hAnsi="宋体" w:eastAsia="宋体" w:cs="宋体"/>
                <w:color w:val="auto"/>
                <w:kern w:val="0"/>
                <w:sz w:val="21"/>
                <w:szCs w:val="21"/>
                <w:highlight w:val="none"/>
                <w:lang w:val="en-US" w:eastAsia="zh-CN" w:bidi="zh-CN"/>
              </w:rPr>
              <w:t>3</w:t>
            </w:r>
            <w:r>
              <w:rPr>
                <w:rFonts w:hint="eastAsia" w:ascii="宋体" w:hAnsi="宋体" w:eastAsia="宋体" w:cs="宋体"/>
                <w:color w:val="auto"/>
                <w:kern w:val="0"/>
                <w:sz w:val="21"/>
                <w:szCs w:val="21"/>
                <w:highlight w:val="none"/>
                <w:lang w:val="zh-CN" w:eastAsia="zh-CN" w:bidi="zh-CN"/>
              </w:rPr>
              <w:t>分，最高得</w:t>
            </w:r>
            <w:r>
              <w:rPr>
                <w:rFonts w:hint="eastAsia" w:ascii="宋体" w:hAnsi="宋体" w:eastAsia="宋体" w:cs="宋体"/>
                <w:color w:val="auto"/>
                <w:kern w:val="0"/>
                <w:sz w:val="21"/>
                <w:szCs w:val="21"/>
                <w:highlight w:val="none"/>
                <w:lang w:val="en-US" w:eastAsia="zh-CN" w:bidi="zh-CN"/>
              </w:rPr>
              <w:t>15</w:t>
            </w:r>
            <w:r>
              <w:rPr>
                <w:rFonts w:hint="eastAsia" w:ascii="宋体" w:hAnsi="宋体" w:eastAsia="宋体" w:cs="宋体"/>
                <w:color w:val="auto"/>
                <w:kern w:val="0"/>
                <w:sz w:val="21"/>
                <w:szCs w:val="21"/>
                <w:highlight w:val="none"/>
                <w:lang w:val="zh-CN" w:eastAsia="zh-CN" w:bidi="zh-CN"/>
              </w:rPr>
              <w:t>分；</w:t>
            </w:r>
          </w:p>
          <w:p w14:paraId="3375E8AD">
            <w:pPr>
              <w:widowControl/>
              <w:spacing w:line="276" w:lineRule="auto"/>
              <w:jc w:val="left"/>
              <w:textAlignment w:val="center"/>
              <w:rPr>
                <w:rFonts w:hint="eastAsia" w:ascii="宋体" w:hAnsi="宋体" w:eastAsia="宋体" w:cs="宋体"/>
                <w:color w:val="auto"/>
                <w:kern w:val="0"/>
                <w:highlight w:val="none"/>
                <w:lang w:val="zh-CN" w:bidi="zh-CN"/>
              </w:rPr>
            </w:pPr>
            <w:r>
              <w:rPr>
                <w:rFonts w:hint="eastAsia" w:ascii="宋体" w:hAnsi="宋体" w:eastAsia="宋体" w:cs="宋体"/>
                <w:color w:val="auto"/>
                <w:kern w:val="0"/>
                <w:sz w:val="21"/>
                <w:szCs w:val="21"/>
                <w:highlight w:val="none"/>
                <w:lang w:val="en-US" w:eastAsia="zh-CN" w:bidi="zh-CN"/>
              </w:rPr>
              <w:t>3</w:t>
            </w:r>
            <w:r>
              <w:rPr>
                <w:rFonts w:hint="eastAsia" w:ascii="宋体" w:hAnsi="宋体" w:eastAsia="宋体" w:cs="宋体"/>
                <w:color w:val="auto"/>
                <w:kern w:val="0"/>
                <w:sz w:val="21"/>
                <w:szCs w:val="21"/>
                <w:highlight w:val="none"/>
                <w:lang w:val="zh-CN" w:eastAsia="zh-CN" w:bidi="zh-CN"/>
              </w:rPr>
              <w:t>.</w:t>
            </w:r>
            <w:r>
              <w:rPr>
                <w:rFonts w:hint="eastAsia" w:ascii="宋体" w:hAnsi="宋体" w:eastAsia="宋体" w:cs="宋体"/>
                <w:color w:val="auto"/>
                <w:kern w:val="0"/>
                <w:highlight w:val="none"/>
                <w:lang w:val="zh-CN" w:bidi="zh-CN"/>
              </w:rPr>
              <w:t>近五年（2020年1月1日起至今，以合同签订日期为准）</w:t>
            </w:r>
            <w:r>
              <w:rPr>
                <w:rFonts w:hint="eastAsia" w:ascii="宋体" w:hAnsi="宋体" w:cs="宋体"/>
                <w:color w:val="auto"/>
                <w:kern w:val="0"/>
                <w:sz w:val="21"/>
                <w:szCs w:val="21"/>
                <w:highlight w:val="none"/>
                <w:lang w:val="en-US" w:eastAsia="zh-CN" w:bidi="zh-CN"/>
              </w:rPr>
              <w:t>具有</w:t>
            </w:r>
            <w:r>
              <w:rPr>
                <w:rFonts w:hint="eastAsia" w:ascii="宋体" w:hAnsi="宋体" w:eastAsia="宋体" w:cs="宋体"/>
                <w:color w:val="auto"/>
                <w:kern w:val="0"/>
                <w:sz w:val="21"/>
                <w:szCs w:val="21"/>
                <w:highlight w:val="none"/>
                <w:lang w:val="zh-CN" w:eastAsia="zh-CN" w:bidi="zh-CN"/>
              </w:rPr>
              <w:t>基金投资项目财务尽调服务</w:t>
            </w:r>
            <w:r>
              <w:rPr>
                <w:rFonts w:hint="eastAsia" w:ascii="宋体" w:hAnsi="宋体" w:cs="宋体"/>
                <w:color w:val="auto"/>
                <w:kern w:val="0"/>
                <w:sz w:val="21"/>
                <w:szCs w:val="21"/>
                <w:highlight w:val="none"/>
                <w:lang w:val="en-US" w:eastAsia="zh-CN" w:bidi="zh-CN"/>
              </w:rPr>
              <w:t>案例</w:t>
            </w:r>
            <w:r>
              <w:rPr>
                <w:rFonts w:hint="eastAsia" w:ascii="宋体" w:hAnsi="宋体" w:eastAsia="宋体" w:cs="宋体"/>
                <w:color w:val="auto"/>
                <w:kern w:val="0"/>
                <w:sz w:val="21"/>
                <w:szCs w:val="21"/>
                <w:highlight w:val="none"/>
                <w:lang w:val="zh-CN" w:eastAsia="zh-CN" w:bidi="zh-CN"/>
              </w:rPr>
              <w:t>的，每提供一个案例得</w:t>
            </w:r>
            <w:r>
              <w:rPr>
                <w:rFonts w:hint="eastAsia" w:ascii="宋体" w:hAnsi="宋体" w:eastAsia="宋体" w:cs="宋体"/>
                <w:color w:val="auto"/>
                <w:kern w:val="0"/>
                <w:sz w:val="21"/>
                <w:szCs w:val="21"/>
                <w:highlight w:val="none"/>
                <w:lang w:val="en-US" w:eastAsia="zh-CN" w:bidi="zh-CN"/>
              </w:rPr>
              <w:t>2</w:t>
            </w:r>
            <w:r>
              <w:rPr>
                <w:rFonts w:hint="eastAsia" w:ascii="宋体" w:hAnsi="宋体" w:eastAsia="宋体" w:cs="宋体"/>
                <w:color w:val="auto"/>
                <w:kern w:val="0"/>
                <w:sz w:val="21"/>
                <w:szCs w:val="21"/>
                <w:highlight w:val="none"/>
                <w:lang w:val="zh-CN" w:eastAsia="zh-CN" w:bidi="zh-CN"/>
              </w:rPr>
              <w:t>分，最高得1</w:t>
            </w:r>
            <w:r>
              <w:rPr>
                <w:rFonts w:hint="eastAsia" w:ascii="宋体" w:hAnsi="宋体" w:eastAsia="宋体" w:cs="宋体"/>
                <w:color w:val="auto"/>
                <w:kern w:val="0"/>
                <w:sz w:val="21"/>
                <w:szCs w:val="21"/>
                <w:highlight w:val="none"/>
                <w:lang w:val="en-US" w:eastAsia="zh-CN" w:bidi="zh-CN"/>
              </w:rPr>
              <w:t>0</w:t>
            </w:r>
            <w:r>
              <w:rPr>
                <w:rFonts w:hint="eastAsia" w:ascii="宋体" w:hAnsi="宋体" w:eastAsia="宋体" w:cs="宋体"/>
                <w:color w:val="auto"/>
                <w:kern w:val="0"/>
                <w:sz w:val="21"/>
                <w:szCs w:val="21"/>
                <w:highlight w:val="none"/>
                <w:lang w:val="zh-CN" w:eastAsia="zh-CN" w:bidi="zh-CN"/>
              </w:rPr>
              <w:t>分；</w:t>
            </w:r>
          </w:p>
          <w:p w14:paraId="24867750">
            <w:pPr>
              <w:widowControl/>
              <w:numPr>
                <w:ilvl w:val="-1"/>
                <w:numId w:val="0"/>
              </w:numPr>
              <w:spacing w:line="276" w:lineRule="auto"/>
              <w:jc w:val="left"/>
              <w:textAlignment w:val="center"/>
              <w:rPr>
                <w:rFonts w:hint="default" w:ascii="宋体" w:hAnsi="宋体" w:eastAsia="宋体" w:cs="宋体"/>
                <w:color w:val="auto"/>
                <w:kern w:val="0"/>
                <w:highlight w:val="none"/>
                <w:lang w:val="en-US" w:bidi="zh-CN"/>
              </w:rPr>
            </w:pPr>
            <w:r>
              <w:rPr>
                <w:rFonts w:hint="eastAsia" w:ascii="宋体" w:hAnsi="宋体" w:eastAsia="宋体" w:cs="宋体"/>
                <w:color w:val="auto"/>
                <w:kern w:val="0"/>
                <w:sz w:val="21"/>
                <w:szCs w:val="21"/>
                <w:highlight w:val="none"/>
                <w:lang w:val="en-US" w:eastAsia="zh-CN" w:bidi="zh-CN"/>
              </w:rPr>
              <w:t>4</w:t>
            </w:r>
            <w:r>
              <w:rPr>
                <w:rFonts w:hint="eastAsia" w:ascii="宋体" w:hAnsi="宋体" w:eastAsia="宋体" w:cs="宋体"/>
                <w:color w:val="auto"/>
                <w:kern w:val="0"/>
                <w:sz w:val="21"/>
                <w:szCs w:val="21"/>
                <w:highlight w:val="none"/>
                <w:lang w:val="zh-CN" w:eastAsia="zh-CN" w:bidi="zh-CN"/>
              </w:rPr>
              <w:t>.</w:t>
            </w:r>
            <w:r>
              <w:rPr>
                <w:rFonts w:hint="eastAsia" w:ascii="宋体" w:hAnsi="宋体" w:eastAsia="宋体" w:cs="宋体"/>
                <w:color w:val="auto"/>
                <w:kern w:val="0"/>
                <w:highlight w:val="none"/>
                <w:lang w:val="zh-CN" w:bidi="zh-CN"/>
              </w:rPr>
              <w:t>近五年（2020年</w:t>
            </w:r>
            <w:r>
              <w:rPr>
                <w:rFonts w:hint="eastAsia" w:ascii="宋体" w:hAnsi="宋体" w:cs="宋体"/>
                <w:color w:val="auto"/>
                <w:kern w:val="0"/>
                <w:highlight w:val="none"/>
                <w:lang w:val="en-US" w:bidi="zh-CN"/>
              </w:rPr>
              <w:t>1月1日起至今</w:t>
            </w:r>
            <w:r>
              <w:rPr>
                <w:rFonts w:hint="eastAsia" w:ascii="宋体" w:hAnsi="宋体" w:eastAsia="宋体" w:cs="宋体"/>
                <w:color w:val="auto"/>
                <w:kern w:val="0"/>
                <w:highlight w:val="none"/>
                <w:lang w:val="zh-CN" w:bidi="zh-CN"/>
              </w:rPr>
              <w:t>，以合同签订日期为准）</w:t>
            </w:r>
            <w:r>
              <w:rPr>
                <w:rFonts w:hint="eastAsia" w:ascii="宋体" w:hAnsi="宋体" w:cs="宋体"/>
                <w:color w:val="auto"/>
                <w:kern w:val="0"/>
                <w:sz w:val="21"/>
                <w:szCs w:val="21"/>
                <w:highlight w:val="none"/>
                <w:lang w:val="en-US" w:eastAsia="zh-CN" w:bidi="zh-CN"/>
              </w:rPr>
              <w:t>具有</w:t>
            </w:r>
            <w:r>
              <w:rPr>
                <w:rFonts w:hint="eastAsia" w:ascii="宋体" w:hAnsi="宋体" w:eastAsia="宋体" w:cs="宋体"/>
                <w:color w:val="auto"/>
                <w:kern w:val="0"/>
                <w:highlight w:val="none"/>
                <w:lang w:val="zh-CN" w:bidi="zh-CN"/>
              </w:rPr>
              <w:t>经济责任审计</w:t>
            </w:r>
            <w:r>
              <w:rPr>
                <w:rFonts w:hint="eastAsia" w:ascii="宋体" w:hAnsi="宋体" w:eastAsia="宋体" w:cs="宋体"/>
                <w:color w:val="auto"/>
                <w:kern w:val="0"/>
                <w:highlight w:val="none"/>
                <w:lang w:val="zh-CN" w:eastAsia="zh-CN" w:bidi="zh-CN"/>
              </w:rPr>
              <w:t>、</w:t>
            </w:r>
            <w:r>
              <w:rPr>
                <w:rFonts w:hint="eastAsia" w:ascii="宋体" w:hAnsi="宋体" w:eastAsia="宋体" w:cs="宋体"/>
                <w:color w:val="auto"/>
                <w:kern w:val="0"/>
                <w:highlight w:val="none"/>
                <w:lang w:val="en-US" w:eastAsia="zh-CN" w:bidi="zh-CN"/>
              </w:rPr>
              <w:t>巡视巡察审计</w:t>
            </w:r>
            <w:r>
              <w:rPr>
                <w:rFonts w:hint="eastAsia" w:ascii="宋体" w:hAnsi="宋体" w:eastAsia="宋体" w:cs="宋体"/>
                <w:color w:val="auto"/>
                <w:kern w:val="0"/>
                <w:highlight w:val="none"/>
                <w:lang w:val="zh-CN" w:bidi="zh-CN"/>
              </w:rPr>
              <w:t>业绩的</w:t>
            </w:r>
            <w:r>
              <w:rPr>
                <w:rFonts w:hint="eastAsia" w:ascii="宋体" w:hAnsi="宋体" w:cs="宋体"/>
                <w:color w:val="auto"/>
                <w:kern w:val="0"/>
                <w:highlight w:val="none"/>
                <w:lang w:val="zh-CN" w:bidi="zh-CN"/>
              </w:rPr>
              <w:t>，</w:t>
            </w:r>
            <w:r>
              <w:rPr>
                <w:rFonts w:hint="eastAsia" w:ascii="宋体" w:hAnsi="宋体" w:eastAsia="宋体" w:cs="宋体"/>
                <w:color w:val="auto"/>
                <w:kern w:val="0"/>
                <w:highlight w:val="none"/>
                <w:lang w:val="en-US" w:eastAsia="zh-CN" w:bidi="zh-CN"/>
              </w:rPr>
              <w:t>每</w:t>
            </w:r>
            <w:r>
              <w:rPr>
                <w:rFonts w:hint="eastAsia" w:ascii="宋体" w:hAnsi="宋体" w:eastAsia="宋体" w:cs="宋体"/>
                <w:color w:val="auto"/>
                <w:kern w:val="0"/>
                <w:highlight w:val="none"/>
                <w:lang w:val="zh-CN" w:eastAsia="zh-CN" w:bidi="zh-CN"/>
              </w:rPr>
              <w:t>提供一个案例得</w:t>
            </w:r>
            <w:r>
              <w:rPr>
                <w:rFonts w:hint="eastAsia" w:ascii="宋体" w:hAnsi="宋体" w:eastAsia="宋体" w:cs="宋体"/>
                <w:color w:val="auto"/>
                <w:kern w:val="0"/>
                <w:highlight w:val="none"/>
                <w:lang w:val="en-US" w:eastAsia="zh-CN" w:bidi="zh-CN"/>
              </w:rPr>
              <w:t>3分，最高得10分</w:t>
            </w:r>
            <w:r>
              <w:rPr>
                <w:rFonts w:hint="eastAsia" w:ascii="宋体" w:hAnsi="宋体" w:eastAsia="宋体" w:cs="宋体"/>
                <w:color w:val="auto"/>
                <w:kern w:val="0"/>
                <w:highlight w:val="none"/>
                <w:lang w:val="zh-CN" w:eastAsia="zh-CN" w:bidi="zh-CN"/>
              </w:rPr>
              <w:t>；</w:t>
            </w:r>
          </w:p>
          <w:p w14:paraId="7A772F33">
            <w:pPr>
              <w:widowControl/>
              <w:spacing w:line="276" w:lineRule="auto"/>
              <w:jc w:val="left"/>
              <w:textAlignment w:val="center"/>
              <w:rPr>
                <w:color w:val="auto"/>
                <w:highlight w:val="none"/>
              </w:rPr>
            </w:pPr>
            <w:r>
              <w:rPr>
                <w:rFonts w:hint="eastAsia" w:ascii="宋体" w:hAnsi="宋体" w:eastAsia="宋体" w:cs="宋体"/>
                <w:color w:val="auto"/>
                <w:kern w:val="0"/>
                <w:highlight w:val="none"/>
                <w:lang w:val="zh-CN" w:bidi="zh-CN"/>
              </w:rPr>
              <w:t>（需提供服务合同并加盖公章，</w:t>
            </w:r>
            <w:r>
              <w:rPr>
                <w:rFonts w:hint="eastAsia" w:ascii="宋体" w:hAnsi="宋体" w:eastAsia="宋体" w:cs="宋体"/>
                <w:color w:val="auto"/>
                <w:kern w:val="0"/>
                <w:highlight w:val="none"/>
                <w:lang w:val="en-US" w:bidi="zh-CN"/>
              </w:rPr>
              <w:t>服务合同需是</w:t>
            </w:r>
            <w:r>
              <w:rPr>
                <w:rFonts w:hint="eastAsia" w:ascii="宋体" w:hAnsi="宋体" w:cs="宋体"/>
                <w:color w:val="auto"/>
                <w:kern w:val="0"/>
                <w:highlight w:val="none"/>
                <w:lang w:val="en-US" w:bidi="zh-CN"/>
              </w:rPr>
              <w:t>投标人拟派本</w:t>
            </w:r>
            <w:r>
              <w:rPr>
                <w:rFonts w:hint="eastAsia" w:ascii="宋体" w:hAnsi="宋体" w:eastAsia="宋体" w:cs="宋体"/>
                <w:color w:val="auto"/>
                <w:kern w:val="0"/>
                <w:highlight w:val="none"/>
                <w:lang w:val="en-US" w:bidi="zh-CN"/>
              </w:rPr>
              <w:t>项目团队成员的业绩，合同中需体现团队成员的名字或者有团队人员签字</w:t>
            </w:r>
            <w:r>
              <w:rPr>
                <w:rFonts w:hint="eastAsia" w:ascii="宋体" w:hAnsi="宋体" w:cs="宋体"/>
                <w:color w:val="auto"/>
                <w:kern w:val="0"/>
                <w:highlight w:val="none"/>
                <w:lang w:val="en-US" w:bidi="zh-CN"/>
              </w:rPr>
              <w:t>以及合同签订</w:t>
            </w:r>
            <w:r>
              <w:rPr>
                <w:rFonts w:hint="eastAsia" w:ascii="宋体" w:hAnsi="宋体" w:cs="宋体"/>
                <w:color w:val="auto"/>
                <w:kern w:val="0"/>
                <w:highlight w:val="none"/>
                <w:lang w:bidi="zh-CN"/>
              </w:rPr>
              <w:t>的时间、</w:t>
            </w:r>
            <w:r>
              <w:rPr>
                <w:rFonts w:hint="eastAsia" w:ascii="宋体" w:hAnsi="宋体" w:cs="宋体"/>
                <w:color w:val="auto"/>
                <w:kern w:val="0"/>
                <w:highlight w:val="none"/>
                <w:lang w:val="en-US" w:bidi="zh-CN"/>
              </w:rPr>
              <w:t>合同</w:t>
            </w:r>
            <w:r>
              <w:rPr>
                <w:rFonts w:hint="eastAsia" w:ascii="宋体" w:hAnsi="宋体" w:cs="宋体"/>
                <w:color w:val="auto"/>
                <w:kern w:val="0"/>
                <w:highlight w:val="none"/>
                <w:lang w:bidi="zh-CN"/>
              </w:rPr>
              <w:t>服务内容、</w:t>
            </w:r>
            <w:r>
              <w:rPr>
                <w:rFonts w:hint="eastAsia" w:ascii="宋体" w:hAnsi="宋体" w:cs="宋体"/>
                <w:color w:val="auto"/>
                <w:kern w:val="0"/>
                <w:highlight w:val="none"/>
                <w:lang w:val="en-US" w:bidi="zh-CN"/>
              </w:rPr>
              <w:t>甲乙双方</w:t>
            </w:r>
            <w:r>
              <w:rPr>
                <w:rFonts w:hint="eastAsia" w:ascii="宋体" w:hAnsi="宋体" w:cs="宋体"/>
                <w:color w:val="auto"/>
                <w:kern w:val="0"/>
                <w:highlight w:val="none"/>
                <w:lang w:bidi="zh-CN"/>
              </w:rPr>
              <w:t>名称等</w:t>
            </w:r>
            <w:r>
              <w:rPr>
                <w:rFonts w:hint="eastAsia" w:ascii="宋体" w:hAnsi="宋体" w:eastAsia="宋体" w:cs="宋体"/>
                <w:color w:val="auto"/>
                <w:kern w:val="0"/>
                <w:highlight w:val="none"/>
                <w:lang w:val="zh-CN" w:bidi="zh-CN"/>
              </w:rPr>
              <w:t>）</w:t>
            </w:r>
          </w:p>
          <w:p w14:paraId="537C6924">
            <w:pPr>
              <w:widowControl/>
              <w:spacing w:line="276" w:lineRule="auto"/>
              <w:jc w:val="left"/>
              <w:textAlignment w:val="center"/>
              <w:rPr>
                <w:rFonts w:hint="default"/>
                <w:color w:val="auto"/>
                <w:highlight w:val="none"/>
                <w:lang w:val="en-US" w:eastAsia="zh-CN"/>
              </w:rPr>
            </w:pPr>
            <w:r>
              <w:rPr>
                <w:rFonts w:hint="eastAsia" w:ascii="宋体" w:hAnsi="Calibri"/>
                <w:b w:val="0"/>
                <w:bCs/>
                <w:color w:val="auto"/>
                <w:sz w:val="24"/>
                <w:szCs w:val="20"/>
                <w:highlight w:val="none"/>
                <w:lang w:val="en-US" w:eastAsia="zh-CN"/>
              </w:rPr>
              <w:t>备注：</w:t>
            </w:r>
            <w:r>
              <w:rPr>
                <w:rFonts w:hint="eastAsia"/>
                <w:color w:val="auto"/>
                <w:highlight w:val="none"/>
                <w:lang w:val="en-US" w:eastAsia="zh-CN"/>
              </w:rPr>
              <w:t>项目组联络人的业绩与服务业绩可以重复计算。</w:t>
            </w:r>
          </w:p>
        </w:tc>
      </w:tr>
      <w:tr w14:paraId="05E8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1" w:hRule="atLeast"/>
          <w:jc w:val="center"/>
        </w:trPr>
        <w:tc>
          <w:tcPr>
            <w:tcW w:w="426" w:type="pct"/>
            <w:vMerge w:val="restart"/>
            <w:tcMar>
              <w:top w:w="12" w:type="dxa"/>
              <w:left w:w="12" w:type="dxa"/>
              <w:right w:w="12" w:type="dxa"/>
            </w:tcMar>
            <w:vAlign w:val="center"/>
          </w:tcPr>
          <w:p w14:paraId="6A3C009B">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cs="宋体"/>
                <w:color w:val="auto"/>
                <w:kern w:val="0"/>
                <w:highlight w:val="none"/>
                <w:lang w:val="en-US" w:bidi="zh-CN"/>
              </w:rPr>
              <w:t>2</w:t>
            </w:r>
          </w:p>
        </w:tc>
        <w:tc>
          <w:tcPr>
            <w:tcW w:w="506" w:type="pct"/>
            <w:vMerge w:val="restart"/>
            <w:tcMar>
              <w:top w:w="12" w:type="dxa"/>
              <w:left w:w="12" w:type="dxa"/>
              <w:right w:w="12" w:type="dxa"/>
            </w:tcMar>
            <w:vAlign w:val="center"/>
          </w:tcPr>
          <w:p w14:paraId="3DA8DD50">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服务能力（</w:t>
            </w:r>
            <w:r>
              <w:rPr>
                <w:rFonts w:hint="eastAsia" w:ascii="宋体" w:hAnsi="宋体" w:cs="宋体"/>
                <w:color w:val="auto"/>
                <w:kern w:val="0"/>
                <w:highlight w:val="none"/>
                <w:lang w:val="en-US" w:bidi="zh-CN"/>
              </w:rPr>
              <w:t>30</w:t>
            </w:r>
            <w:r>
              <w:rPr>
                <w:rFonts w:hint="eastAsia" w:ascii="宋体" w:hAnsi="宋体" w:eastAsia="宋体" w:cs="宋体"/>
                <w:color w:val="auto"/>
                <w:kern w:val="0"/>
                <w:highlight w:val="none"/>
                <w:lang w:val="zh-CN" w:bidi="zh-CN"/>
              </w:rPr>
              <w:t>分）</w:t>
            </w:r>
          </w:p>
        </w:tc>
        <w:tc>
          <w:tcPr>
            <w:tcW w:w="576" w:type="pct"/>
            <w:vMerge w:val="restart"/>
            <w:tcMar>
              <w:top w:w="12" w:type="dxa"/>
              <w:left w:w="12" w:type="dxa"/>
              <w:right w:w="12" w:type="dxa"/>
            </w:tcMar>
            <w:vAlign w:val="center"/>
          </w:tcPr>
          <w:p w14:paraId="310CD1C9">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人员保障（</w:t>
            </w:r>
            <w:r>
              <w:rPr>
                <w:rFonts w:hint="eastAsia" w:ascii="宋体" w:hAnsi="宋体" w:cs="宋体"/>
                <w:color w:val="auto"/>
                <w:kern w:val="0"/>
                <w:highlight w:val="none"/>
                <w:lang w:val="en-US" w:bidi="zh-CN"/>
              </w:rPr>
              <w:t>3</w:t>
            </w:r>
            <w:r>
              <w:rPr>
                <w:rFonts w:hint="eastAsia" w:ascii="宋体" w:hAnsi="宋体" w:eastAsia="宋体" w:cs="宋体"/>
                <w:color w:val="auto"/>
                <w:kern w:val="0"/>
                <w:highlight w:val="none"/>
                <w:lang w:val="en-US" w:bidi="zh-CN"/>
              </w:rPr>
              <w:t>0</w:t>
            </w:r>
            <w:r>
              <w:rPr>
                <w:rFonts w:hint="eastAsia" w:ascii="宋体" w:hAnsi="宋体" w:eastAsia="宋体" w:cs="宋体"/>
                <w:color w:val="auto"/>
                <w:kern w:val="0"/>
                <w:highlight w:val="none"/>
                <w:lang w:val="zh-CN" w:bidi="zh-CN"/>
              </w:rPr>
              <w:t>分）</w:t>
            </w:r>
          </w:p>
        </w:tc>
        <w:tc>
          <w:tcPr>
            <w:tcW w:w="3490" w:type="pct"/>
            <w:tcMar>
              <w:top w:w="12" w:type="dxa"/>
              <w:left w:w="12" w:type="dxa"/>
              <w:right w:w="12" w:type="dxa"/>
            </w:tcMar>
            <w:vAlign w:val="center"/>
          </w:tcPr>
          <w:p w14:paraId="5C747388">
            <w:pPr>
              <w:widowControl/>
              <w:spacing w:line="276" w:lineRule="auto"/>
              <w:jc w:val="left"/>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项目团队配备人员8人（含）以上的得5分，5人以上（含）8人以下的得2分，5人以下的不得分；</w:t>
            </w:r>
          </w:p>
        </w:tc>
      </w:tr>
      <w:tr w14:paraId="1C74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1" w:hRule="atLeast"/>
          <w:jc w:val="center"/>
        </w:trPr>
        <w:tc>
          <w:tcPr>
            <w:tcW w:w="426" w:type="pct"/>
            <w:vMerge w:val="continue"/>
            <w:tcMar>
              <w:top w:w="12" w:type="dxa"/>
              <w:left w:w="12" w:type="dxa"/>
              <w:right w:w="12" w:type="dxa"/>
            </w:tcMar>
            <w:vAlign w:val="center"/>
          </w:tcPr>
          <w:p w14:paraId="5D1AC771">
            <w:pPr>
              <w:widowControl/>
              <w:spacing w:line="276" w:lineRule="auto"/>
              <w:jc w:val="center"/>
              <w:textAlignment w:val="center"/>
              <w:rPr>
                <w:rFonts w:hint="default" w:ascii="宋体" w:hAnsi="宋体" w:eastAsia="宋体" w:cs="宋体"/>
                <w:color w:val="auto"/>
                <w:kern w:val="0"/>
                <w:highlight w:val="none"/>
                <w:lang w:val="en-US" w:bidi="zh-CN"/>
              </w:rPr>
            </w:pPr>
          </w:p>
        </w:tc>
        <w:tc>
          <w:tcPr>
            <w:tcW w:w="506" w:type="pct"/>
            <w:vMerge w:val="continue"/>
            <w:tcMar>
              <w:top w:w="12" w:type="dxa"/>
              <w:left w:w="12" w:type="dxa"/>
              <w:right w:w="12" w:type="dxa"/>
            </w:tcMar>
            <w:vAlign w:val="center"/>
          </w:tcPr>
          <w:p w14:paraId="37A82D5A">
            <w:pPr>
              <w:widowControl/>
              <w:spacing w:line="276" w:lineRule="auto"/>
              <w:jc w:val="center"/>
              <w:textAlignment w:val="center"/>
              <w:rPr>
                <w:rFonts w:hint="eastAsia" w:ascii="宋体" w:hAnsi="宋体" w:eastAsia="宋体" w:cs="宋体"/>
                <w:color w:val="auto"/>
                <w:kern w:val="0"/>
                <w:highlight w:val="none"/>
                <w:lang w:val="zh-CN" w:bidi="zh-CN"/>
              </w:rPr>
            </w:pPr>
          </w:p>
        </w:tc>
        <w:tc>
          <w:tcPr>
            <w:tcW w:w="576" w:type="pct"/>
            <w:vMerge w:val="continue"/>
            <w:tcMar>
              <w:top w:w="12" w:type="dxa"/>
              <w:left w:w="12" w:type="dxa"/>
              <w:right w:w="12" w:type="dxa"/>
            </w:tcMar>
            <w:vAlign w:val="center"/>
          </w:tcPr>
          <w:p w14:paraId="494C30FB">
            <w:pPr>
              <w:widowControl/>
              <w:spacing w:line="276" w:lineRule="auto"/>
              <w:jc w:val="center"/>
              <w:textAlignment w:val="center"/>
              <w:rPr>
                <w:rFonts w:hint="eastAsia" w:ascii="宋体" w:hAnsi="宋体" w:eastAsia="宋体" w:cs="宋体"/>
                <w:color w:val="auto"/>
                <w:kern w:val="0"/>
                <w:highlight w:val="none"/>
                <w:lang w:val="zh-CN" w:bidi="zh-CN"/>
              </w:rPr>
            </w:pPr>
          </w:p>
        </w:tc>
        <w:tc>
          <w:tcPr>
            <w:tcW w:w="3490" w:type="pct"/>
            <w:tcMar>
              <w:top w:w="12" w:type="dxa"/>
              <w:left w:w="12" w:type="dxa"/>
              <w:right w:w="12" w:type="dxa"/>
            </w:tcMar>
            <w:vAlign w:val="center"/>
          </w:tcPr>
          <w:p w14:paraId="213D38A8">
            <w:pPr>
              <w:widowControl/>
              <w:spacing w:line="276" w:lineRule="auto"/>
              <w:jc w:val="left"/>
              <w:textAlignment w:val="center"/>
              <w:rPr>
                <w:rFonts w:hint="eastAsia"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项目组成员中具备的注册会计师证书满3人（含）的得3分，在此基础上每增加1人得1分，累计5分止。</w:t>
            </w:r>
          </w:p>
        </w:tc>
      </w:tr>
      <w:tr w14:paraId="1D58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9" w:hRule="atLeast"/>
          <w:jc w:val="center"/>
        </w:trPr>
        <w:tc>
          <w:tcPr>
            <w:tcW w:w="426" w:type="pct"/>
            <w:vMerge w:val="continue"/>
            <w:tcMar>
              <w:top w:w="12" w:type="dxa"/>
              <w:left w:w="12" w:type="dxa"/>
              <w:right w:w="12" w:type="dxa"/>
            </w:tcMar>
            <w:vAlign w:val="center"/>
          </w:tcPr>
          <w:p w14:paraId="3D70ABA8">
            <w:pPr>
              <w:widowControl/>
              <w:spacing w:line="276" w:lineRule="auto"/>
              <w:jc w:val="center"/>
              <w:textAlignment w:val="center"/>
              <w:rPr>
                <w:rFonts w:hint="eastAsia" w:ascii="宋体" w:hAnsi="宋体" w:eastAsia="宋体" w:cs="宋体"/>
                <w:color w:val="auto"/>
                <w:kern w:val="0"/>
                <w:highlight w:val="none"/>
                <w:lang w:val="en-US" w:bidi="zh-CN"/>
              </w:rPr>
            </w:pPr>
          </w:p>
        </w:tc>
        <w:tc>
          <w:tcPr>
            <w:tcW w:w="506" w:type="pct"/>
            <w:vMerge w:val="continue"/>
            <w:tcMar>
              <w:top w:w="12" w:type="dxa"/>
              <w:left w:w="12" w:type="dxa"/>
              <w:right w:w="12" w:type="dxa"/>
            </w:tcMar>
            <w:vAlign w:val="center"/>
          </w:tcPr>
          <w:p w14:paraId="27EB8433">
            <w:pPr>
              <w:widowControl/>
              <w:spacing w:line="276" w:lineRule="auto"/>
              <w:jc w:val="center"/>
              <w:textAlignment w:val="center"/>
              <w:rPr>
                <w:rFonts w:hint="eastAsia" w:ascii="宋体" w:hAnsi="宋体" w:eastAsia="宋体" w:cs="宋体"/>
                <w:color w:val="auto"/>
                <w:kern w:val="0"/>
                <w:highlight w:val="none"/>
                <w:lang w:val="zh-CN" w:bidi="zh-CN"/>
              </w:rPr>
            </w:pPr>
          </w:p>
        </w:tc>
        <w:tc>
          <w:tcPr>
            <w:tcW w:w="576" w:type="pct"/>
            <w:vMerge w:val="continue"/>
            <w:tcMar>
              <w:top w:w="12" w:type="dxa"/>
              <w:left w:w="12" w:type="dxa"/>
              <w:right w:w="12" w:type="dxa"/>
            </w:tcMar>
            <w:vAlign w:val="center"/>
          </w:tcPr>
          <w:p w14:paraId="69D46883">
            <w:pPr>
              <w:widowControl/>
              <w:spacing w:line="276" w:lineRule="auto"/>
              <w:jc w:val="center"/>
              <w:textAlignment w:val="center"/>
              <w:rPr>
                <w:rFonts w:hint="eastAsia" w:ascii="宋体" w:hAnsi="宋体" w:eastAsia="宋体" w:cs="宋体"/>
                <w:color w:val="auto"/>
                <w:kern w:val="0"/>
                <w:highlight w:val="none"/>
                <w:lang w:val="zh-CN" w:bidi="zh-CN"/>
              </w:rPr>
            </w:pPr>
          </w:p>
        </w:tc>
        <w:tc>
          <w:tcPr>
            <w:tcW w:w="3490" w:type="pct"/>
            <w:tcMar>
              <w:top w:w="12" w:type="dxa"/>
              <w:left w:w="12" w:type="dxa"/>
              <w:right w:w="12" w:type="dxa"/>
            </w:tcMar>
            <w:vAlign w:val="center"/>
          </w:tcPr>
          <w:p w14:paraId="6E821766">
            <w:pPr>
              <w:widowControl/>
              <w:spacing w:line="276" w:lineRule="auto"/>
              <w:jc w:val="left"/>
              <w:textAlignment w:val="center"/>
              <w:rPr>
                <w:rFonts w:hint="eastAsia" w:ascii="宋体" w:hAnsi="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项目团队负责人执业20年及以上得8分，10年及以上不足20年得5分，5年及以上不足10年得3分；5年以下不得分</w:t>
            </w:r>
            <w:r>
              <w:rPr>
                <w:rFonts w:hint="eastAsia" w:ascii="宋体" w:hAnsi="宋体" w:cs="宋体"/>
                <w:color w:val="auto"/>
                <w:kern w:val="0"/>
                <w:sz w:val="21"/>
                <w:szCs w:val="21"/>
                <w:highlight w:val="none"/>
                <w:lang w:val="zh-CN" w:eastAsia="zh-CN" w:bidi="zh-CN"/>
              </w:rPr>
              <w:t>。</w:t>
            </w:r>
          </w:p>
          <w:p w14:paraId="1D50E87E">
            <w:pPr>
              <w:widowControl/>
              <w:spacing w:line="276" w:lineRule="auto"/>
              <w:jc w:val="left"/>
              <w:textAlignment w:val="center"/>
              <w:rPr>
                <w:rFonts w:hint="default" w:ascii="宋体" w:hAnsi="宋体" w:cs="宋体"/>
                <w:color w:val="auto"/>
                <w:kern w:val="0"/>
                <w:sz w:val="21"/>
                <w:szCs w:val="21"/>
                <w:highlight w:val="none"/>
                <w:lang w:val="en-US" w:eastAsia="zh-CN" w:bidi="zh-CN"/>
              </w:rPr>
            </w:pPr>
            <w:r>
              <w:rPr>
                <w:rFonts w:hint="eastAsia" w:ascii="宋体" w:hAnsi="Calibri"/>
                <w:b w:val="0"/>
                <w:bCs/>
                <w:color w:val="auto"/>
                <w:sz w:val="21"/>
                <w:szCs w:val="21"/>
                <w:highlight w:val="none"/>
                <w:lang w:val="en-US" w:eastAsia="zh-CN"/>
              </w:rPr>
              <w:t>备注：须提供初级会计师证书。执业时间按周年计算，执业时间</w:t>
            </w:r>
            <w:r>
              <w:rPr>
                <w:rFonts w:hint="eastAsia"/>
                <w:b w:val="0"/>
                <w:bCs/>
                <w:color w:val="auto"/>
                <w:sz w:val="21"/>
                <w:szCs w:val="21"/>
                <w:highlight w:val="none"/>
                <w:lang w:val="en-US" w:eastAsia="zh-CN"/>
              </w:rPr>
              <w:t>以初级会计师证书批准日期为起算之日，</w:t>
            </w:r>
            <w:r>
              <w:rPr>
                <w:rFonts w:hint="eastAsia" w:ascii="宋体" w:hAnsi="Calibri"/>
                <w:b w:val="0"/>
                <w:bCs/>
                <w:color w:val="auto"/>
                <w:sz w:val="21"/>
                <w:szCs w:val="21"/>
                <w:highlight w:val="none"/>
                <w:lang w:val="en-US" w:eastAsia="zh-CN"/>
              </w:rPr>
              <w:t>截止到2025年12月31日。</w:t>
            </w:r>
          </w:p>
        </w:tc>
      </w:tr>
      <w:tr w14:paraId="1FA8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atLeast"/>
          <w:jc w:val="center"/>
        </w:trPr>
        <w:tc>
          <w:tcPr>
            <w:tcW w:w="426" w:type="pct"/>
            <w:vMerge w:val="continue"/>
            <w:tcMar>
              <w:top w:w="12" w:type="dxa"/>
              <w:left w:w="12" w:type="dxa"/>
              <w:right w:w="12" w:type="dxa"/>
            </w:tcMar>
            <w:vAlign w:val="center"/>
          </w:tcPr>
          <w:p w14:paraId="391B8D07">
            <w:pPr>
              <w:widowControl/>
              <w:spacing w:line="276" w:lineRule="auto"/>
              <w:jc w:val="center"/>
              <w:textAlignment w:val="center"/>
              <w:rPr>
                <w:rFonts w:ascii="宋体" w:hAnsi="宋体" w:eastAsia="宋体" w:cs="宋体"/>
                <w:color w:val="auto"/>
                <w:kern w:val="0"/>
                <w:highlight w:val="none"/>
                <w:lang w:val="zh-CN" w:bidi="zh-CN"/>
              </w:rPr>
            </w:pPr>
          </w:p>
        </w:tc>
        <w:tc>
          <w:tcPr>
            <w:tcW w:w="506" w:type="pct"/>
            <w:vMerge w:val="continue"/>
            <w:tcMar>
              <w:top w:w="12" w:type="dxa"/>
              <w:left w:w="12" w:type="dxa"/>
              <w:right w:w="12" w:type="dxa"/>
            </w:tcMar>
            <w:vAlign w:val="center"/>
          </w:tcPr>
          <w:p w14:paraId="53AB092D">
            <w:pPr>
              <w:widowControl/>
              <w:spacing w:line="276" w:lineRule="auto"/>
              <w:jc w:val="center"/>
              <w:textAlignment w:val="center"/>
              <w:rPr>
                <w:rFonts w:ascii="宋体" w:hAnsi="宋体" w:eastAsia="宋体" w:cs="宋体"/>
                <w:color w:val="auto"/>
                <w:kern w:val="0"/>
                <w:highlight w:val="none"/>
                <w:lang w:val="zh-CN" w:bidi="zh-CN"/>
              </w:rPr>
            </w:pPr>
          </w:p>
        </w:tc>
        <w:tc>
          <w:tcPr>
            <w:tcW w:w="576" w:type="pct"/>
            <w:vMerge w:val="continue"/>
            <w:tcMar>
              <w:top w:w="12" w:type="dxa"/>
              <w:left w:w="12" w:type="dxa"/>
              <w:right w:w="12" w:type="dxa"/>
            </w:tcMar>
            <w:vAlign w:val="center"/>
          </w:tcPr>
          <w:p w14:paraId="204BF37C">
            <w:pPr>
              <w:widowControl/>
              <w:spacing w:line="276" w:lineRule="auto"/>
              <w:jc w:val="center"/>
              <w:textAlignment w:val="center"/>
              <w:rPr>
                <w:rFonts w:ascii="宋体" w:hAnsi="宋体" w:eastAsia="宋体" w:cs="宋体"/>
                <w:color w:val="auto"/>
                <w:kern w:val="0"/>
                <w:highlight w:val="none"/>
                <w:lang w:val="zh-CN" w:bidi="zh-CN"/>
              </w:rPr>
            </w:pPr>
          </w:p>
        </w:tc>
        <w:tc>
          <w:tcPr>
            <w:tcW w:w="3490" w:type="pct"/>
            <w:tcMar>
              <w:top w:w="12" w:type="dxa"/>
              <w:left w:w="12" w:type="dxa"/>
              <w:right w:w="12" w:type="dxa"/>
            </w:tcMar>
            <w:vAlign w:val="center"/>
          </w:tcPr>
          <w:p w14:paraId="142162B5">
            <w:pPr>
              <w:widowControl/>
              <w:spacing w:line="360" w:lineRule="auto"/>
              <w:textAlignment w:val="auto"/>
              <w:rPr>
                <w:rFonts w:hint="eastAsia" w:ascii="宋体" w:hAnsi="宋体" w:cs="方正仿宋简体"/>
                <w:bCs/>
                <w:color w:val="auto"/>
                <w:sz w:val="22"/>
                <w:szCs w:val="22"/>
                <w:highlight w:val="none"/>
                <w:lang w:val="en-US" w:eastAsia="zh-CN"/>
              </w:rPr>
            </w:pPr>
            <w:r>
              <w:rPr>
                <w:rFonts w:hint="eastAsia" w:ascii="宋体" w:hAnsi="宋体" w:eastAsia="宋体" w:cs="宋体"/>
                <w:color w:val="auto"/>
                <w:kern w:val="0"/>
                <w:highlight w:val="none"/>
                <w:lang w:val="zh-CN" w:bidi="zh-CN"/>
              </w:rPr>
              <w:t>项目组联络人</w:t>
            </w:r>
            <w:r>
              <w:rPr>
                <w:rFonts w:hint="eastAsia" w:ascii="宋体" w:hAnsi="宋体" w:cs="宋体"/>
                <w:color w:val="auto"/>
                <w:kern w:val="0"/>
                <w:highlight w:val="none"/>
                <w:lang w:val="zh-CN" w:bidi="zh-CN"/>
              </w:rPr>
              <w:t>（</w:t>
            </w:r>
            <w:r>
              <w:rPr>
                <w:rFonts w:hint="eastAsia" w:ascii="宋体" w:hAnsi="宋体" w:cs="宋体"/>
                <w:color w:val="auto"/>
                <w:kern w:val="0"/>
                <w:highlight w:val="none"/>
                <w:lang w:val="en-US" w:bidi="zh-CN"/>
              </w:rPr>
              <w:t>指日常与招标人对接联系人</w:t>
            </w:r>
            <w:r>
              <w:rPr>
                <w:rFonts w:hint="eastAsia" w:ascii="宋体" w:hAnsi="宋体" w:cs="宋体"/>
                <w:color w:val="auto"/>
                <w:kern w:val="0"/>
                <w:highlight w:val="none"/>
                <w:lang w:val="zh-CN" w:bidi="zh-CN"/>
              </w:rPr>
              <w:t>）</w:t>
            </w:r>
            <w:r>
              <w:rPr>
                <w:rFonts w:hint="eastAsia" w:ascii="宋体" w:hAnsi="宋体" w:cs="方正仿宋简体"/>
                <w:bCs/>
                <w:color w:val="auto"/>
                <w:sz w:val="22"/>
                <w:szCs w:val="22"/>
                <w:highlight w:val="none"/>
              </w:rPr>
              <w:t>近</w:t>
            </w:r>
            <w:r>
              <w:rPr>
                <w:rFonts w:hint="eastAsia" w:ascii="宋体" w:hAnsi="宋体" w:cs="方正仿宋简体"/>
                <w:bCs/>
                <w:color w:val="auto"/>
                <w:sz w:val="22"/>
                <w:szCs w:val="22"/>
                <w:highlight w:val="none"/>
                <w:lang w:eastAsia="zh-CN"/>
              </w:rPr>
              <w:t>五</w:t>
            </w:r>
            <w:r>
              <w:rPr>
                <w:rFonts w:hint="eastAsia" w:ascii="宋体" w:hAnsi="宋体" w:cs="方正仿宋简体"/>
                <w:bCs/>
                <w:color w:val="auto"/>
                <w:sz w:val="22"/>
                <w:szCs w:val="22"/>
                <w:highlight w:val="none"/>
              </w:rPr>
              <w:t>年（</w:t>
            </w:r>
            <w:r>
              <w:rPr>
                <w:rFonts w:hint="eastAsia" w:ascii="宋体" w:hAnsi="宋体" w:eastAsia="宋体" w:cs="宋体"/>
                <w:color w:val="auto"/>
                <w:kern w:val="0"/>
                <w:highlight w:val="none"/>
                <w:lang w:val="zh-CN" w:bidi="zh-CN"/>
              </w:rPr>
              <w:t>2020年1月1日起至今</w:t>
            </w:r>
            <w:r>
              <w:rPr>
                <w:rFonts w:hint="eastAsia" w:ascii="宋体" w:hAnsi="宋体" w:cs="方正仿宋简体"/>
                <w:bCs/>
                <w:color w:val="auto"/>
                <w:sz w:val="22"/>
                <w:szCs w:val="22"/>
                <w:highlight w:val="none"/>
              </w:rPr>
              <w:t>）</w:t>
            </w:r>
            <w:r>
              <w:rPr>
                <w:rFonts w:hint="eastAsia" w:ascii="宋体" w:hAnsi="宋体" w:cs="方正仿宋简体"/>
                <w:bCs/>
                <w:color w:val="auto"/>
                <w:sz w:val="22"/>
                <w:szCs w:val="22"/>
                <w:highlight w:val="none"/>
                <w:lang w:val="en-US" w:eastAsia="zh-CN"/>
              </w:rPr>
              <w:t>业绩：</w:t>
            </w:r>
          </w:p>
          <w:p w14:paraId="5449D04A">
            <w:pPr>
              <w:widowControl/>
              <w:numPr>
                <w:ilvl w:val="-1"/>
                <w:numId w:val="0"/>
              </w:numPr>
              <w:spacing w:line="360" w:lineRule="auto"/>
              <w:jc w:val="both"/>
              <w:textAlignment w:val="auto"/>
              <w:rPr>
                <w:rFonts w:hint="eastAsia" w:ascii="宋体" w:hAnsi="宋体" w:cs="方正仿宋简体"/>
                <w:bCs/>
                <w:color w:val="auto"/>
                <w:sz w:val="22"/>
                <w:szCs w:val="22"/>
                <w:highlight w:val="none"/>
              </w:rPr>
            </w:pPr>
            <w:r>
              <w:rPr>
                <w:rFonts w:hint="eastAsia" w:ascii="宋体" w:hAnsi="宋体" w:eastAsia="宋体" w:cs="方正仿宋简体"/>
                <w:bCs/>
                <w:color w:val="auto"/>
                <w:kern w:val="2"/>
                <w:sz w:val="22"/>
                <w:szCs w:val="22"/>
                <w:highlight w:val="none"/>
                <w:lang w:val="en-US" w:eastAsia="zh-CN" w:bidi="ar-SA"/>
              </w:rPr>
              <w:t>1.</w:t>
            </w:r>
            <w:r>
              <w:rPr>
                <w:rFonts w:hint="eastAsia" w:ascii="宋体" w:hAnsi="宋体" w:cs="宋体"/>
                <w:color w:val="auto"/>
                <w:kern w:val="0"/>
                <w:sz w:val="21"/>
                <w:szCs w:val="21"/>
                <w:highlight w:val="none"/>
                <w:lang w:val="en-US" w:eastAsia="zh-CN" w:bidi="zh-CN"/>
              </w:rPr>
              <w:t>具有</w:t>
            </w:r>
            <w:r>
              <w:rPr>
                <w:rFonts w:hint="eastAsia" w:ascii="宋体" w:hAnsi="宋体" w:cs="方正仿宋简体"/>
                <w:bCs/>
                <w:color w:val="auto"/>
                <w:sz w:val="22"/>
                <w:szCs w:val="22"/>
                <w:highlight w:val="none"/>
                <w:lang w:eastAsia="zh-CN"/>
              </w:rPr>
              <w:t>内部审计</w:t>
            </w:r>
            <w:r>
              <w:rPr>
                <w:rFonts w:hint="eastAsia" w:ascii="宋体" w:hAnsi="宋体" w:cs="方正仿宋简体"/>
                <w:bCs/>
                <w:color w:val="auto"/>
                <w:sz w:val="22"/>
                <w:szCs w:val="22"/>
                <w:highlight w:val="none"/>
                <w:lang w:val="en-US" w:eastAsia="zh-CN"/>
              </w:rPr>
              <w:t>或</w:t>
            </w:r>
            <w:r>
              <w:rPr>
                <w:rFonts w:hint="eastAsia" w:ascii="宋体" w:hAnsi="宋体" w:cs="方正仿宋简体"/>
                <w:bCs/>
                <w:color w:val="auto"/>
                <w:sz w:val="22"/>
                <w:szCs w:val="22"/>
                <w:highlight w:val="none"/>
                <w:lang w:eastAsia="zh-CN"/>
              </w:rPr>
              <w:t>经济责任审计、财务报表审计等</w:t>
            </w:r>
            <w:r>
              <w:rPr>
                <w:rFonts w:hint="eastAsia" w:ascii="宋体" w:hAnsi="宋体" w:cs="方正仿宋简体"/>
                <w:bCs/>
                <w:color w:val="auto"/>
                <w:sz w:val="22"/>
                <w:szCs w:val="22"/>
                <w:highlight w:val="none"/>
              </w:rPr>
              <w:t>服务的案例，每一个案例计</w:t>
            </w:r>
            <w:r>
              <w:rPr>
                <w:rFonts w:hint="eastAsia" w:ascii="宋体" w:hAnsi="宋体" w:cs="方正仿宋简体"/>
                <w:bCs/>
                <w:color w:val="auto"/>
                <w:sz w:val="22"/>
                <w:szCs w:val="22"/>
                <w:highlight w:val="none"/>
                <w:lang w:val="en-US" w:eastAsia="zh-CN"/>
              </w:rPr>
              <w:t>1</w:t>
            </w:r>
            <w:r>
              <w:rPr>
                <w:rFonts w:hint="eastAsia" w:ascii="宋体" w:hAnsi="宋体" w:cs="方正仿宋简体"/>
                <w:bCs/>
                <w:color w:val="auto"/>
                <w:sz w:val="22"/>
                <w:szCs w:val="22"/>
                <w:highlight w:val="none"/>
              </w:rPr>
              <w:t>分，最高计</w:t>
            </w:r>
            <w:r>
              <w:rPr>
                <w:rFonts w:hint="eastAsia" w:ascii="宋体" w:hAnsi="宋体" w:cs="方正仿宋简体"/>
                <w:bCs/>
                <w:color w:val="auto"/>
                <w:sz w:val="22"/>
                <w:szCs w:val="22"/>
                <w:highlight w:val="none"/>
                <w:lang w:val="en-US" w:eastAsia="zh-CN"/>
              </w:rPr>
              <w:t>6</w:t>
            </w:r>
            <w:r>
              <w:rPr>
                <w:rFonts w:hint="eastAsia" w:ascii="宋体" w:hAnsi="宋体" w:cs="方正仿宋简体"/>
                <w:bCs/>
                <w:color w:val="auto"/>
                <w:sz w:val="22"/>
                <w:szCs w:val="22"/>
                <w:highlight w:val="none"/>
              </w:rPr>
              <w:t>分</w:t>
            </w:r>
            <w:r>
              <w:rPr>
                <w:rFonts w:hint="eastAsia" w:ascii="宋体" w:hAnsi="宋体" w:cs="方正仿宋简体"/>
                <w:bCs/>
                <w:color w:val="auto"/>
                <w:sz w:val="22"/>
                <w:szCs w:val="22"/>
                <w:highlight w:val="none"/>
                <w:lang w:eastAsia="zh-CN"/>
              </w:rPr>
              <w:t>（</w:t>
            </w:r>
            <w:r>
              <w:rPr>
                <w:rFonts w:hint="eastAsia" w:ascii="宋体" w:hAnsi="宋体" w:cs="方正仿宋简体"/>
                <w:bCs/>
                <w:color w:val="auto"/>
                <w:sz w:val="22"/>
                <w:szCs w:val="22"/>
                <w:highlight w:val="none"/>
                <w:lang w:val="en-US" w:eastAsia="zh-CN"/>
              </w:rPr>
              <w:t>提供的合同中应体现项目联络人的名字或合同由联络人签字</w:t>
            </w:r>
            <w:r>
              <w:rPr>
                <w:rFonts w:hint="eastAsia" w:ascii="宋体" w:hAnsi="宋体" w:cs="宋体"/>
                <w:color w:val="auto"/>
                <w:kern w:val="0"/>
                <w:highlight w:val="none"/>
                <w:lang w:val="en-US" w:bidi="zh-CN"/>
              </w:rPr>
              <w:t>以及合同签订</w:t>
            </w:r>
            <w:r>
              <w:rPr>
                <w:rFonts w:hint="eastAsia" w:ascii="宋体" w:hAnsi="宋体" w:cs="宋体"/>
                <w:color w:val="auto"/>
                <w:kern w:val="0"/>
                <w:highlight w:val="none"/>
                <w:lang w:bidi="zh-CN"/>
              </w:rPr>
              <w:t>的时间、</w:t>
            </w:r>
            <w:r>
              <w:rPr>
                <w:rFonts w:hint="eastAsia" w:ascii="宋体" w:hAnsi="宋体" w:cs="宋体"/>
                <w:color w:val="auto"/>
                <w:kern w:val="0"/>
                <w:highlight w:val="none"/>
                <w:lang w:val="en-US" w:bidi="zh-CN"/>
              </w:rPr>
              <w:t>合同</w:t>
            </w:r>
            <w:r>
              <w:rPr>
                <w:rFonts w:hint="eastAsia" w:ascii="宋体" w:hAnsi="宋体" w:cs="宋体"/>
                <w:color w:val="auto"/>
                <w:kern w:val="0"/>
                <w:highlight w:val="none"/>
                <w:lang w:bidi="zh-CN"/>
              </w:rPr>
              <w:t>服务内容、</w:t>
            </w:r>
            <w:r>
              <w:rPr>
                <w:rFonts w:hint="eastAsia" w:ascii="宋体" w:hAnsi="宋体" w:cs="宋体"/>
                <w:color w:val="auto"/>
                <w:kern w:val="0"/>
                <w:highlight w:val="none"/>
                <w:lang w:val="en-US" w:bidi="zh-CN"/>
              </w:rPr>
              <w:t>甲乙双方</w:t>
            </w:r>
            <w:r>
              <w:rPr>
                <w:rFonts w:hint="eastAsia" w:ascii="宋体" w:hAnsi="宋体" w:cs="宋体"/>
                <w:color w:val="auto"/>
                <w:kern w:val="0"/>
                <w:highlight w:val="none"/>
                <w:lang w:bidi="zh-CN"/>
              </w:rPr>
              <w:t>名称等</w:t>
            </w:r>
            <w:r>
              <w:rPr>
                <w:rFonts w:hint="eastAsia" w:ascii="宋体" w:hAnsi="宋体" w:cs="方正仿宋简体"/>
                <w:bCs/>
                <w:color w:val="auto"/>
                <w:sz w:val="22"/>
                <w:szCs w:val="22"/>
                <w:highlight w:val="none"/>
              </w:rPr>
              <w:t>）；</w:t>
            </w:r>
          </w:p>
          <w:p w14:paraId="5A8D1825">
            <w:pPr>
              <w:shd w:val="clear"/>
              <w:spacing w:line="360" w:lineRule="auto"/>
              <w:jc w:val="both"/>
              <w:rPr>
                <w:rFonts w:hint="eastAsia" w:ascii="宋体" w:hAnsi="宋体" w:cs="方正仿宋简体"/>
                <w:bCs/>
                <w:color w:val="auto"/>
                <w:sz w:val="22"/>
                <w:szCs w:val="22"/>
                <w:highlight w:val="none"/>
                <w:lang w:eastAsia="zh-CN"/>
              </w:rPr>
            </w:pPr>
            <w:r>
              <w:rPr>
                <w:rFonts w:ascii="宋体" w:hAnsi="宋体" w:eastAsia="宋体" w:cs="宋体"/>
                <w:color w:val="auto"/>
                <w:kern w:val="0"/>
                <w:sz w:val="21"/>
                <w:szCs w:val="21"/>
                <w:highlight w:val="none"/>
                <w:lang w:val="zh-CN" w:eastAsia="zh-CN" w:bidi="zh-CN"/>
              </w:rPr>
              <w:t>2.</w:t>
            </w:r>
            <w:r>
              <w:rPr>
                <w:rFonts w:hint="eastAsia" w:ascii="宋体" w:hAnsi="宋体" w:cs="宋体"/>
                <w:color w:val="auto"/>
                <w:kern w:val="0"/>
                <w:sz w:val="21"/>
                <w:szCs w:val="21"/>
                <w:highlight w:val="none"/>
                <w:lang w:val="en-US" w:eastAsia="zh-CN" w:bidi="zh-CN"/>
              </w:rPr>
              <w:t>具有</w:t>
            </w:r>
            <w:r>
              <w:rPr>
                <w:rFonts w:hint="eastAsia" w:ascii="宋体" w:hAnsi="宋体" w:cs="方正仿宋简体"/>
                <w:bCs/>
                <w:color w:val="auto"/>
                <w:sz w:val="22"/>
                <w:szCs w:val="22"/>
                <w:highlight w:val="none"/>
                <w:lang w:val="en-US" w:eastAsia="zh-CN"/>
              </w:rPr>
              <w:t>基金投资财务</w:t>
            </w:r>
            <w:r>
              <w:rPr>
                <w:rFonts w:hint="eastAsia" w:ascii="宋体" w:hAnsi="宋体" w:cs="方正仿宋简体"/>
                <w:bCs/>
                <w:color w:val="auto"/>
                <w:sz w:val="22"/>
                <w:szCs w:val="22"/>
                <w:highlight w:val="none"/>
                <w:lang w:eastAsia="zh-CN"/>
              </w:rPr>
              <w:t>尽职调查服务</w:t>
            </w:r>
            <w:r>
              <w:rPr>
                <w:rFonts w:hint="eastAsia" w:ascii="宋体" w:hAnsi="宋体" w:cs="方正仿宋简体"/>
                <w:bCs/>
                <w:color w:val="auto"/>
                <w:sz w:val="22"/>
                <w:szCs w:val="22"/>
                <w:highlight w:val="none"/>
              </w:rPr>
              <w:t>的案例，每一个案例计</w:t>
            </w:r>
            <w:r>
              <w:rPr>
                <w:rFonts w:hint="eastAsia" w:ascii="宋体" w:hAnsi="宋体" w:cs="方正仿宋简体"/>
                <w:bCs/>
                <w:color w:val="auto"/>
                <w:sz w:val="22"/>
                <w:szCs w:val="22"/>
                <w:highlight w:val="none"/>
                <w:lang w:val="en-US" w:eastAsia="zh-CN"/>
              </w:rPr>
              <w:t>1</w:t>
            </w:r>
            <w:r>
              <w:rPr>
                <w:rFonts w:hint="eastAsia" w:ascii="宋体" w:hAnsi="宋体" w:cs="方正仿宋简体"/>
                <w:bCs/>
                <w:color w:val="auto"/>
                <w:sz w:val="22"/>
                <w:szCs w:val="22"/>
                <w:highlight w:val="none"/>
              </w:rPr>
              <w:t>分，最高计</w:t>
            </w:r>
            <w:r>
              <w:rPr>
                <w:rFonts w:hint="eastAsia" w:ascii="宋体" w:hAnsi="宋体" w:cs="方正仿宋简体"/>
                <w:bCs/>
                <w:color w:val="auto"/>
                <w:sz w:val="22"/>
                <w:szCs w:val="22"/>
                <w:highlight w:val="none"/>
                <w:lang w:val="en-US" w:eastAsia="zh-CN"/>
              </w:rPr>
              <w:t>6</w:t>
            </w:r>
            <w:r>
              <w:rPr>
                <w:rFonts w:hint="eastAsia" w:ascii="宋体" w:hAnsi="宋体" w:cs="方正仿宋简体"/>
                <w:bCs/>
                <w:color w:val="auto"/>
                <w:sz w:val="22"/>
                <w:szCs w:val="22"/>
                <w:highlight w:val="none"/>
              </w:rPr>
              <w:t>分</w:t>
            </w:r>
            <w:r>
              <w:rPr>
                <w:rFonts w:hint="eastAsia" w:ascii="宋体" w:hAnsi="宋体" w:cs="方正仿宋简体"/>
                <w:bCs/>
                <w:color w:val="auto"/>
                <w:sz w:val="22"/>
                <w:szCs w:val="22"/>
                <w:highlight w:val="none"/>
                <w:lang w:eastAsia="zh-CN"/>
              </w:rPr>
              <w:t>（</w:t>
            </w:r>
            <w:r>
              <w:rPr>
                <w:rFonts w:hint="eastAsia" w:ascii="宋体" w:hAnsi="宋体" w:cs="方正仿宋简体"/>
                <w:bCs/>
                <w:color w:val="auto"/>
                <w:sz w:val="22"/>
                <w:szCs w:val="22"/>
                <w:highlight w:val="none"/>
                <w:lang w:val="en-US" w:eastAsia="zh-CN"/>
              </w:rPr>
              <w:t>提供的合同中应体现项目联络人的名字或合同由联络人签字</w:t>
            </w:r>
            <w:r>
              <w:rPr>
                <w:rFonts w:hint="eastAsia" w:ascii="宋体" w:hAnsi="宋体" w:cs="宋体"/>
                <w:color w:val="auto"/>
                <w:kern w:val="0"/>
                <w:highlight w:val="none"/>
                <w:lang w:val="en-US" w:bidi="zh-CN"/>
              </w:rPr>
              <w:t>以及合同签订</w:t>
            </w:r>
            <w:r>
              <w:rPr>
                <w:rFonts w:hint="eastAsia" w:ascii="宋体" w:hAnsi="宋体" w:cs="宋体"/>
                <w:color w:val="auto"/>
                <w:kern w:val="0"/>
                <w:highlight w:val="none"/>
                <w:lang w:bidi="zh-CN"/>
              </w:rPr>
              <w:t>的时间、</w:t>
            </w:r>
            <w:r>
              <w:rPr>
                <w:rFonts w:hint="eastAsia" w:ascii="宋体" w:hAnsi="宋体" w:cs="宋体"/>
                <w:color w:val="auto"/>
                <w:kern w:val="0"/>
                <w:highlight w:val="none"/>
                <w:lang w:val="en-US" w:bidi="zh-CN"/>
              </w:rPr>
              <w:t>合同</w:t>
            </w:r>
            <w:r>
              <w:rPr>
                <w:rFonts w:hint="eastAsia" w:ascii="宋体" w:hAnsi="宋体" w:cs="宋体"/>
                <w:color w:val="auto"/>
                <w:kern w:val="0"/>
                <w:highlight w:val="none"/>
                <w:lang w:bidi="zh-CN"/>
              </w:rPr>
              <w:t>服务内容、</w:t>
            </w:r>
            <w:r>
              <w:rPr>
                <w:rFonts w:hint="eastAsia" w:ascii="宋体" w:hAnsi="宋体" w:cs="宋体"/>
                <w:color w:val="auto"/>
                <w:kern w:val="0"/>
                <w:highlight w:val="none"/>
                <w:lang w:val="en-US" w:bidi="zh-CN"/>
              </w:rPr>
              <w:t>甲乙双方</w:t>
            </w:r>
            <w:r>
              <w:rPr>
                <w:rFonts w:hint="eastAsia" w:ascii="宋体" w:hAnsi="宋体" w:cs="宋体"/>
                <w:color w:val="auto"/>
                <w:kern w:val="0"/>
                <w:highlight w:val="none"/>
                <w:lang w:bidi="zh-CN"/>
              </w:rPr>
              <w:t>名称等</w:t>
            </w:r>
            <w:r>
              <w:rPr>
                <w:rFonts w:hint="eastAsia" w:ascii="宋体" w:hAnsi="宋体" w:cs="方正仿宋简体"/>
                <w:bCs/>
                <w:color w:val="auto"/>
                <w:sz w:val="22"/>
                <w:szCs w:val="22"/>
                <w:highlight w:val="none"/>
              </w:rPr>
              <w:t>）</w:t>
            </w:r>
            <w:r>
              <w:rPr>
                <w:rFonts w:hint="eastAsia" w:ascii="宋体" w:hAnsi="宋体" w:cs="方正仿宋简体"/>
                <w:bCs/>
                <w:color w:val="auto"/>
                <w:sz w:val="22"/>
                <w:szCs w:val="22"/>
                <w:highlight w:val="none"/>
                <w:lang w:eastAsia="zh-CN"/>
              </w:rPr>
              <w:t>；</w:t>
            </w:r>
          </w:p>
          <w:p w14:paraId="1F7CCDC7">
            <w:pPr>
              <w:widowControl/>
              <w:numPr>
                <w:ilvl w:val="-1"/>
                <w:numId w:val="0"/>
              </w:numPr>
              <w:spacing w:line="360" w:lineRule="auto"/>
              <w:jc w:val="both"/>
              <w:textAlignment w:val="auto"/>
              <w:rPr>
                <w:rFonts w:hint="default"/>
                <w:color w:val="auto"/>
                <w:highlight w:val="none"/>
                <w:lang w:val="en-US" w:eastAsia="zh-CN"/>
              </w:rPr>
            </w:pPr>
            <w:r>
              <w:rPr>
                <w:rFonts w:hint="eastAsia" w:ascii="宋体" w:hAnsi="Calibri"/>
                <w:b w:val="0"/>
                <w:bCs/>
                <w:color w:val="auto"/>
                <w:sz w:val="24"/>
                <w:szCs w:val="20"/>
                <w:highlight w:val="none"/>
                <w:lang w:val="en-US" w:eastAsia="zh-CN"/>
              </w:rPr>
              <w:t>备注：</w:t>
            </w:r>
            <w:r>
              <w:rPr>
                <w:rFonts w:hint="eastAsia"/>
                <w:color w:val="auto"/>
                <w:highlight w:val="none"/>
                <w:lang w:val="en-US" w:eastAsia="zh-CN"/>
              </w:rPr>
              <w:t>项目组联络人的业绩与服务业绩可以重复计算。</w:t>
            </w:r>
          </w:p>
        </w:tc>
      </w:tr>
      <w:tr w14:paraId="52B8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6" w:hRule="atLeast"/>
          <w:jc w:val="center"/>
        </w:trPr>
        <w:tc>
          <w:tcPr>
            <w:tcW w:w="426" w:type="pct"/>
            <w:tcMar>
              <w:top w:w="12" w:type="dxa"/>
              <w:left w:w="12" w:type="dxa"/>
              <w:right w:w="12" w:type="dxa"/>
            </w:tcMar>
            <w:vAlign w:val="center"/>
          </w:tcPr>
          <w:p w14:paraId="64435E32">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cs="宋体"/>
                <w:color w:val="auto"/>
                <w:kern w:val="0"/>
                <w:highlight w:val="none"/>
                <w:lang w:val="en-US" w:bidi="zh-CN"/>
              </w:rPr>
              <w:t>3</w:t>
            </w:r>
          </w:p>
        </w:tc>
        <w:tc>
          <w:tcPr>
            <w:tcW w:w="506" w:type="pct"/>
            <w:tcMar>
              <w:top w:w="12" w:type="dxa"/>
              <w:left w:w="12" w:type="dxa"/>
              <w:right w:w="12" w:type="dxa"/>
            </w:tcMar>
            <w:vAlign w:val="center"/>
          </w:tcPr>
          <w:p w14:paraId="3047F83D">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项目规划与实施能力（</w:t>
            </w:r>
            <w:r>
              <w:rPr>
                <w:rFonts w:hint="eastAsia" w:ascii="宋体" w:hAnsi="宋体" w:cs="宋体"/>
                <w:color w:val="auto"/>
                <w:kern w:val="0"/>
                <w:highlight w:val="none"/>
                <w:lang w:val="en-US" w:bidi="zh-CN"/>
              </w:rPr>
              <w:t>20</w:t>
            </w:r>
            <w:r>
              <w:rPr>
                <w:rFonts w:hint="eastAsia" w:ascii="宋体" w:hAnsi="宋体" w:eastAsia="宋体" w:cs="宋体"/>
                <w:color w:val="auto"/>
                <w:kern w:val="0"/>
                <w:highlight w:val="none"/>
                <w:lang w:val="zh-CN" w:bidi="zh-CN"/>
              </w:rPr>
              <w:t>分）</w:t>
            </w:r>
          </w:p>
        </w:tc>
        <w:tc>
          <w:tcPr>
            <w:tcW w:w="576" w:type="pct"/>
            <w:tcMar>
              <w:top w:w="12" w:type="dxa"/>
              <w:left w:w="12" w:type="dxa"/>
              <w:right w:w="12" w:type="dxa"/>
            </w:tcMar>
            <w:vAlign w:val="center"/>
          </w:tcPr>
          <w:p w14:paraId="3F61F8D5">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实施方案</w:t>
            </w:r>
          </w:p>
          <w:p w14:paraId="4E1680C2">
            <w:pPr>
              <w:widowControl/>
              <w:spacing w:line="276" w:lineRule="auto"/>
              <w:jc w:val="center"/>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w:t>
            </w:r>
            <w:r>
              <w:rPr>
                <w:rFonts w:hint="eastAsia" w:ascii="宋体" w:hAnsi="宋体" w:cs="宋体"/>
                <w:color w:val="auto"/>
                <w:kern w:val="0"/>
                <w:highlight w:val="none"/>
                <w:lang w:val="en-US" w:bidi="zh-CN"/>
              </w:rPr>
              <w:t>20</w:t>
            </w:r>
            <w:r>
              <w:rPr>
                <w:rFonts w:hint="eastAsia" w:ascii="宋体" w:hAnsi="宋体" w:eastAsia="宋体" w:cs="宋体"/>
                <w:color w:val="auto"/>
                <w:kern w:val="0"/>
                <w:highlight w:val="none"/>
                <w:lang w:val="zh-CN" w:bidi="zh-CN"/>
              </w:rPr>
              <w:t>分）</w:t>
            </w:r>
          </w:p>
        </w:tc>
        <w:tc>
          <w:tcPr>
            <w:tcW w:w="3490" w:type="pct"/>
            <w:tcMar>
              <w:top w:w="12" w:type="dxa"/>
              <w:left w:w="12" w:type="dxa"/>
              <w:right w:w="12" w:type="dxa"/>
            </w:tcMar>
            <w:vAlign w:val="center"/>
          </w:tcPr>
          <w:p w14:paraId="63540FC6">
            <w:pPr>
              <w:widowControl/>
              <w:spacing w:line="276" w:lineRule="auto"/>
              <w:jc w:val="left"/>
              <w:textAlignment w:val="center"/>
              <w:rPr>
                <w:rFonts w:ascii="宋体" w:hAnsi="宋体" w:eastAsia="宋体" w:cs="宋体"/>
                <w:color w:val="auto"/>
                <w:kern w:val="0"/>
                <w:highlight w:val="none"/>
                <w:lang w:val="zh-CN" w:bidi="zh-CN"/>
              </w:rPr>
            </w:pPr>
            <w:r>
              <w:rPr>
                <w:rFonts w:hint="eastAsia" w:ascii="宋体" w:hAnsi="宋体" w:eastAsia="宋体" w:cs="宋体"/>
                <w:color w:val="auto"/>
                <w:kern w:val="0"/>
                <w:highlight w:val="none"/>
                <w:lang w:val="zh-CN" w:bidi="zh-CN"/>
              </w:rPr>
              <w:t>具备优秀的项目规划和实施能力，制定服务方案，明确入围后所能提供咨询服务、项目推荐、服务事项、工作计划和人员分工安排等。根据服务方案的合理性、可行性、有效性等进行评定，评</w:t>
            </w:r>
            <w:r>
              <w:rPr>
                <w:rFonts w:hint="eastAsia" w:ascii="宋体" w:hAnsi="宋体" w:cs="宋体"/>
                <w:color w:val="auto"/>
                <w:kern w:val="0"/>
                <w:highlight w:val="none"/>
                <w:lang w:val="en-US" w:bidi="zh-CN"/>
              </w:rPr>
              <w:t>标委员会综合</w:t>
            </w:r>
            <w:r>
              <w:rPr>
                <w:rFonts w:hint="eastAsia" w:ascii="宋体" w:hAnsi="宋体" w:eastAsia="宋体" w:cs="宋体"/>
                <w:color w:val="auto"/>
                <w:kern w:val="0"/>
                <w:highlight w:val="none"/>
                <w:lang w:val="zh-CN" w:bidi="zh-CN"/>
              </w:rPr>
              <w:t>比较，酌情打分，</w:t>
            </w:r>
            <w:r>
              <w:rPr>
                <w:rFonts w:hint="eastAsia" w:ascii="宋体" w:hAnsi="宋体" w:eastAsia="宋体" w:cs="宋体"/>
                <w:color w:val="auto"/>
                <w:kern w:val="0"/>
                <w:highlight w:val="none"/>
                <w:lang w:val="en-US" w:bidi="zh-CN"/>
              </w:rPr>
              <w:t>非常合理可行有效的</w:t>
            </w:r>
            <w:r>
              <w:rPr>
                <w:rFonts w:hint="eastAsia" w:ascii="宋体" w:hAnsi="宋体" w:eastAsia="宋体" w:cs="宋体"/>
                <w:color w:val="auto"/>
                <w:kern w:val="0"/>
                <w:highlight w:val="none"/>
                <w:lang w:val="zh-CN" w:bidi="zh-CN"/>
              </w:rPr>
              <w:t>得</w:t>
            </w:r>
            <w:r>
              <w:rPr>
                <w:rFonts w:hint="eastAsia" w:ascii="宋体" w:hAnsi="宋体" w:cs="宋体"/>
                <w:color w:val="auto"/>
                <w:kern w:val="0"/>
                <w:highlight w:val="none"/>
                <w:lang w:val="en-US" w:bidi="zh-CN"/>
              </w:rPr>
              <w:t>20</w:t>
            </w:r>
            <w:r>
              <w:rPr>
                <w:rFonts w:hint="eastAsia" w:ascii="宋体" w:hAnsi="宋体" w:eastAsia="宋体" w:cs="宋体"/>
                <w:color w:val="auto"/>
                <w:kern w:val="0"/>
                <w:highlight w:val="none"/>
                <w:lang w:val="zh-CN" w:bidi="zh-CN"/>
              </w:rPr>
              <w:t>分、</w:t>
            </w:r>
            <w:r>
              <w:rPr>
                <w:rFonts w:hint="eastAsia" w:ascii="宋体" w:hAnsi="宋体" w:eastAsia="宋体" w:cs="宋体"/>
                <w:color w:val="auto"/>
                <w:kern w:val="0"/>
                <w:highlight w:val="none"/>
                <w:lang w:val="en-US" w:bidi="zh-CN"/>
              </w:rPr>
              <w:t>比较合理可行有效的</w:t>
            </w:r>
            <w:r>
              <w:rPr>
                <w:rFonts w:hint="eastAsia" w:ascii="宋体" w:hAnsi="宋体" w:eastAsia="宋体" w:cs="宋体"/>
                <w:color w:val="auto"/>
                <w:kern w:val="0"/>
                <w:highlight w:val="none"/>
                <w:lang w:val="zh-CN" w:bidi="zh-CN"/>
              </w:rPr>
              <w:t>得1</w:t>
            </w:r>
            <w:r>
              <w:rPr>
                <w:rFonts w:hint="eastAsia" w:ascii="宋体" w:hAnsi="宋体" w:cs="宋体"/>
                <w:color w:val="auto"/>
                <w:kern w:val="0"/>
                <w:highlight w:val="none"/>
                <w:lang w:val="en-US" w:bidi="zh-CN"/>
              </w:rPr>
              <w:t>6分</w:t>
            </w:r>
            <w:r>
              <w:rPr>
                <w:rFonts w:hint="eastAsia" w:ascii="宋体" w:hAnsi="宋体" w:eastAsia="宋体" w:cs="宋体"/>
                <w:color w:val="auto"/>
                <w:kern w:val="0"/>
                <w:highlight w:val="none"/>
                <w:lang w:val="zh-CN" w:bidi="zh-CN"/>
              </w:rPr>
              <w:t>、</w:t>
            </w:r>
            <w:r>
              <w:rPr>
                <w:rFonts w:hint="eastAsia" w:ascii="宋体" w:hAnsi="宋体" w:eastAsia="宋体" w:cs="宋体"/>
                <w:color w:val="auto"/>
                <w:kern w:val="0"/>
                <w:highlight w:val="none"/>
                <w:lang w:val="en-US" w:bidi="zh-CN"/>
              </w:rPr>
              <w:t>合理可行有效不足的</w:t>
            </w:r>
            <w:r>
              <w:rPr>
                <w:rFonts w:hint="eastAsia" w:ascii="宋体" w:hAnsi="宋体" w:eastAsia="宋体" w:cs="宋体"/>
                <w:color w:val="auto"/>
                <w:kern w:val="0"/>
                <w:highlight w:val="none"/>
                <w:lang w:val="zh-CN" w:bidi="zh-CN"/>
              </w:rPr>
              <w:t>得</w:t>
            </w:r>
            <w:r>
              <w:rPr>
                <w:rFonts w:hint="eastAsia" w:ascii="宋体" w:hAnsi="宋体" w:cs="宋体"/>
                <w:color w:val="auto"/>
                <w:kern w:val="0"/>
                <w:highlight w:val="none"/>
                <w:lang w:val="en-US" w:bidi="zh-CN"/>
              </w:rPr>
              <w:t>12分</w:t>
            </w:r>
            <w:r>
              <w:rPr>
                <w:rFonts w:hint="eastAsia" w:ascii="宋体" w:hAnsi="宋体" w:eastAsia="宋体" w:cs="宋体"/>
                <w:color w:val="auto"/>
                <w:kern w:val="0"/>
                <w:highlight w:val="none"/>
                <w:lang w:val="zh-CN" w:bidi="zh-CN"/>
              </w:rPr>
              <w:t>，</w:t>
            </w:r>
            <w:r>
              <w:rPr>
                <w:rFonts w:hint="eastAsia" w:ascii="宋体" w:hAnsi="宋体" w:eastAsia="宋体" w:cs="宋体"/>
                <w:color w:val="auto"/>
                <w:kern w:val="0"/>
                <w:highlight w:val="none"/>
                <w:lang w:val="en-US" w:bidi="zh-CN"/>
              </w:rPr>
              <w:t>未提供或者很不合理可行有效的</w:t>
            </w:r>
            <w:r>
              <w:rPr>
                <w:rFonts w:hint="eastAsia" w:ascii="宋体" w:hAnsi="宋体" w:eastAsia="宋体" w:cs="宋体"/>
                <w:color w:val="auto"/>
                <w:kern w:val="0"/>
                <w:highlight w:val="none"/>
                <w:lang w:val="zh-CN" w:bidi="zh-CN"/>
              </w:rPr>
              <w:t>不得分。</w:t>
            </w:r>
          </w:p>
        </w:tc>
      </w:tr>
    </w:tbl>
    <w:p w14:paraId="7F84CF9A">
      <w:pPr>
        <w:shd w:val="clear"/>
        <w:spacing w:line="320" w:lineRule="exact"/>
        <w:ind w:firstLine="240" w:firstLineChars="100"/>
        <w:jc w:val="both"/>
        <w:rPr>
          <w:rFonts w:ascii="宋体" w:hAnsi="Calibri"/>
          <w:b/>
          <w:color w:val="auto"/>
          <w:sz w:val="24"/>
          <w:szCs w:val="24"/>
          <w:highlight w:val="none"/>
        </w:rPr>
      </w:pPr>
    </w:p>
    <w:p w14:paraId="1E7B71AC">
      <w:pPr>
        <w:shd w:val="clear"/>
        <w:spacing w:line="360" w:lineRule="auto"/>
        <w:jc w:val="center"/>
        <w:rPr>
          <w:rFonts w:hint="eastAsia" w:ascii="宋体" w:hAnsi="Calibri"/>
          <w:b/>
          <w:color w:val="auto"/>
          <w:sz w:val="24"/>
          <w:szCs w:val="20"/>
          <w:highlight w:val="none"/>
        </w:rPr>
      </w:pPr>
    </w:p>
    <w:p w14:paraId="3CB6C37F">
      <w:pPr>
        <w:shd w:val="clear"/>
        <w:spacing w:line="360" w:lineRule="auto"/>
        <w:jc w:val="center"/>
        <w:rPr>
          <w:rFonts w:ascii="宋体" w:hAnsi="Calibri"/>
          <w:b/>
          <w:color w:val="auto"/>
          <w:sz w:val="24"/>
          <w:szCs w:val="20"/>
          <w:highlight w:val="none"/>
        </w:rPr>
      </w:pPr>
      <w:r>
        <w:rPr>
          <w:rFonts w:hint="eastAsia" w:ascii="宋体" w:hAnsi="Calibri"/>
          <w:b/>
          <w:color w:val="auto"/>
          <w:sz w:val="24"/>
          <w:szCs w:val="20"/>
          <w:highlight w:val="none"/>
        </w:rPr>
        <w:t>四、评标</w:t>
      </w:r>
      <w:r>
        <w:rPr>
          <w:rFonts w:ascii="宋体" w:hAnsi="Calibri"/>
          <w:b/>
          <w:color w:val="auto"/>
          <w:sz w:val="24"/>
          <w:szCs w:val="20"/>
          <w:highlight w:val="none"/>
        </w:rPr>
        <w:t>程序</w:t>
      </w:r>
    </w:p>
    <w:p w14:paraId="503846F4">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1、为保证项目评审工作的正常有序进行，维护招标人、投标人的合法权益，依据相关法律法规，根据本招标项目实际需要，本着公开、公平、公正的原则，制定评标办法。</w:t>
      </w:r>
    </w:p>
    <w:p w14:paraId="1AD35369">
      <w:pPr>
        <w:shd w:val="clear"/>
        <w:spacing w:line="360" w:lineRule="auto"/>
        <w:rPr>
          <w:rFonts w:ascii="宋体" w:hAnsi="Calibri"/>
          <w:b/>
          <w:color w:val="auto"/>
          <w:sz w:val="24"/>
          <w:szCs w:val="20"/>
          <w:highlight w:val="none"/>
        </w:rPr>
      </w:pPr>
      <w:r>
        <w:rPr>
          <w:rFonts w:hint="eastAsia" w:ascii="宋体" w:hAnsi="Calibri"/>
          <w:b/>
          <w:color w:val="auto"/>
          <w:sz w:val="24"/>
          <w:szCs w:val="20"/>
          <w:highlight w:val="none"/>
        </w:rPr>
        <w:t>2、评标原则</w:t>
      </w:r>
    </w:p>
    <w:p w14:paraId="3A5775A3">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评标应遵循公平、公正、科学、择优的原则。</w:t>
      </w:r>
    </w:p>
    <w:p w14:paraId="12DA8D18">
      <w:pPr>
        <w:shd w:val="clear"/>
        <w:spacing w:line="360" w:lineRule="auto"/>
        <w:rPr>
          <w:rFonts w:ascii="宋体" w:hAnsi="Calibri"/>
          <w:b/>
          <w:color w:val="auto"/>
          <w:sz w:val="24"/>
          <w:szCs w:val="20"/>
          <w:highlight w:val="none"/>
        </w:rPr>
      </w:pPr>
      <w:r>
        <w:rPr>
          <w:rFonts w:hint="eastAsia" w:ascii="宋体" w:hAnsi="Calibri"/>
          <w:b/>
          <w:color w:val="auto"/>
          <w:sz w:val="24"/>
          <w:szCs w:val="20"/>
          <w:highlight w:val="none"/>
        </w:rPr>
        <w:t>3、评标组织</w:t>
      </w:r>
    </w:p>
    <w:p w14:paraId="3D7BEE69">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3.1评标委员会由招标人依法组建。所有评标委员会成员推举产生评标委员会组长。成员人数由5人</w:t>
      </w:r>
      <w:r>
        <w:rPr>
          <w:rFonts w:hint="eastAsia" w:ascii="宋体" w:hAnsi="Calibri"/>
          <w:color w:val="auto"/>
          <w:sz w:val="24"/>
          <w:szCs w:val="20"/>
          <w:highlight w:val="none"/>
          <w:lang w:eastAsia="zh-CN"/>
        </w:rPr>
        <w:t>及</w:t>
      </w:r>
      <w:r>
        <w:rPr>
          <w:rFonts w:hint="eastAsia" w:ascii="宋体" w:hAnsi="Calibri"/>
          <w:color w:val="auto"/>
          <w:sz w:val="24"/>
          <w:szCs w:val="20"/>
          <w:highlight w:val="none"/>
        </w:rPr>
        <w:t>以上单数组成，评标委员会成员名单在中标结果确定前应当保密。</w:t>
      </w:r>
    </w:p>
    <w:p w14:paraId="1AE9F26C">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3.2评标委员会的职责</w:t>
      </w:r>
    </w:p>
    <w:p w14:paraId="0EBC5424">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评标委员会应当根据评标办法，对投标文件进行评审和比较，向招标人推荐中标候选人或根据招标人的授权直接确定中标人。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408849AE">
      <w:pPr>
        <w:shd w:val="clear"/>
        <w:spacing w:line="360" w:lineRule="auto"/>
        <w:rPr>
          <w:rFonts w:ascii="宋体" w:hAnsi="Calibri"/>
          <w:b/>
          <w:color w:val="auto"/>
          <w:sz w:val="24"/>
          <w:szCs w:val="20"/>
          <w:highlight w:val="none"/>
        </w:rPr>
      </w:pPr>
      <w:r>
        <w:rPr>
          <w:rFonts w:hint="eastAsia" w:ascii="宋体" w:hAnsi="Calibri"/>
          <w:b/>
          <w:color w:val="auto"/>
          <w:sz w:val="24"/>
          <w:szCs w:val="20"/>
          <w:highlight w:val="none"/>
        </w:rPr>
        <w:t>4.评标程序</w:t>
      </w:r>
    </w:p>
    <w:p w14:paraId="4EF1DF87">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评标准备、</w:t>
      </w:r>
      <w:r>
        <w:rPr>
          <w:rFonts w:hint="eastAsia" w:ascii="宋体" w:hAnsi="Calibri"/>
          <w:color w:val="auto"/>
          <w:sz w:val="24"/>
          <w:szCs w:val="20"/>
          <w:highlight w:val="none"/>
          <w:lang w:val="en-US" w:eastAsia="zh-CN"/>
        </w:rPr>
        <w:t>初步</w:t>
      </w:r>
      <w:r>
        <w:rPr>
          <w:rFonts w:hint="eastAsia" w:ascii="宋体" w:hAnsi="Calibri"/>
          <w:color w:val="auto"/>
          <w:sz w:val="24"/>
          <w:szCs w:val="20"/>
          <w:highlight w:val="none"/>
        </w:rPr>
        <w:t>评审、综合评审，推荐中标候选人。</w:t>
      </w:r>
    </w:p>
    <w:p w14:paraId="302AD7F8">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4.1评标准备</w:t>
      </w:r>
    </w:p>
    <w:p w14:paraId="75FA8C4B">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评标委员会熟悉评标工作情况：</w:t>
      </w:r>
    </w:p>
    <w:p w14:paraId="27C834D8">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(1)听取招标人或者其委托的招标代理机构对招标项目情况的介绍。</w:t>
      </w:r>
    </w:p>
    <w:p w14:paraId="1A64DBAD">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(2)阅读、研究招标文件和相关评标资料，获取评标所需要的重要信息和数据,至少应了解和熟悉以下内容：招标的目标、招标项目的范围和性质、招标文件规定的主要要求。</w:t>
      </w:r>
    </w:p>
    <w:p w14:paraId="5D2147AD">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(3)熟悉招标文件规定的评标标准和评标方法及在评标过程中需要考虑的相关因素。</w:t>
      </w:r>
    </w:p>
    <w:p w14:paraId="42B762F0">
      <w:pPr>
        <w:shd w:val="clear"/>
        <w:spacing w:line="360" w:lineRule="auto"/>
        <w:rPr>
          <w:rFonts w:ascii="宋体" w:hAnsi="Calibri"/>
          <w:b/>
          <w:color w:val="auto"/>
          <w:sz w:val="24"/>
          <w:szCs w:val="20"/>
          <w:highlight w:val="none"/>
        </w:rPr>
      </w:pPr>
      <w:r>
        <w:rPr>
          <w:rFonts w:hint="eastAsia" w:ascii="宋体" w:hAnsi="Calibri"/>
          <w:b/>
          <w:color w:val="auto"/>
          <w:sz w:val="24"/>
          <w:szCs w:val="20"/>
          <w:highlight w:val="none"/>
        </w:rPr>
        <w:t>5、评标方法和内容</w:t>
      </w:r>
    </w:p>
    <w:p w14:paraId="0DE7C571">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5.1、评标采用综合评</w:t>
      </w:r>
      <w:r>
        <w:rPr>
          <w:rFonts w:hint="eastAsia" w:ascii="宋体" w:hAnsi="Calibri"/>
          <w:color w:val="auto"/>
          <w:sz w:val="24"/>
          <w:szCs w:val="20"/>
          <w:highlight w:val="none"/>
          <w:lang w:val="en-US" w:eastAsia="zh-CN"/>
        </w:rPr>
        <w:t>分</w:t>
      </w:r>
      <w:r>
        <w:rPr>
          <w:rFonts w:hint="eastAsia" w:ascii="宋体" w:hAnsi="Calibri"/>
          <w:color w:val="auto"/>
          <w:sz w:val="24"/>
          <w:szCs w:val="20"/>
          <w:highlight w:val="none"/>
        </w:rPr>
        <w:t>法。</w:t>
      </w:r>
    </w:p>
    <w:p w14:paraId="191B11DD">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5.2、评标委员会</w:t>
      </w:r>
      <w:r>
        <w:rPr>
          <w:rFonts w:hint="eastAsia" w:ascii="宋体" w:hAnsi="Calibri"/>
          <w:color w:val="auto"/>
          <w:sz w:val="24"/>
          <w:szCs w:val="20"/>
          <w:highlight w:val="none"/>
          <w:lang w:val="en-US" w:eastAsia="zh-CN"/>
        </w:rPr>
        <w:t>依据评标委员会否决其投标的条款</w:t>
      </w:r>
      <w:r>
        <w:rPr>
          <w:rFonts w:hint="eastAsia" w:ascii="宋体" w:hAnsi="Calibri"/>
          <w:color w:val="auto"/>
          <w:sz w:val="24"/>
          <w:szCs w:val="20"/>
          <w:highlight w:val="none"/>
        </w:rPr>
        <w:t>对投标文件进行</w:t>
      </w:r>
      <w:r>
        <w:rPr>
          <w:rFonts w:hint="eastAsia" w:ascii="宋体" w:hAnsi="Calibri"/>
          <w:color w:val="auto"/>
          <w:sz w:val="24"/>
          <w:szCs w:val="20"/>
          <w:highlight w:val="none"/>
          <w:lang w:val="en-US" w:eastAsia="zh-CN"/>
        </w:rPr>
        <w:t>初步评审</w:t>
      </w:r>
      <w:r>
        <w:rPr>
          <w:rFonts w:hint="eastAsia" w:ascii="宋体" w:hAnsi="Calibri"/>
          <w:color w:val="auto"/>
          <w:sz w:val="24"/>
          <w:szCs w:val="20"/>
          <w:highlight w:val="none"/>
        </w:rPr>
        <w:t>。审查中有一项或多项不合格的，作否决其投标。</w:t>
      </w:r>
    </w:p>
    <w:p w14:paraId="1F0FB1F2">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5.3、</w:t>
      </w:r>
      <w:r>
        <w:rPr>
          <w:rFonts w:hint="eastAsia" w:ascii="宋体" w:hAnsi="Calibri"/>
          <w:color w:val="auto"/>
          <w:sz w:val="24"/>
          <w:szCs w:val="20"/>
          <w:highlight w:val="none"/>
          <w:lang w:val="en-US" w:eastAsia="zh-CN"/>
        </w:rPr>
        <w:t>初步评审</w:t>
      </w:r>
      <w:r>
        <w:rPr>
          <w:rFonts w:hint="eastAsia" w:ascii="宋体" w:hAnsi="Calibri"/>
          <w:color w:val="auto"/>
          <w:sz w:val="24"/>
          <w:szCs w:val="20"/>
          <w:highlight w:val="none"/>
        </w:rPr>
        <w:t>结束后，评标委员会对所有通过审查的投标人，按综合评分表规定的标准进行综合打分（若通过</w:t>
      </w:r>
      <w:r>
        <w:rPr>
          <w:rFonts w:hint="eastAsia" w:ascii="宋体" w:hAnsi="Calibri"/>
          <w:color w:val="auto"/>
          <w:sz w:val="24"/>
          <w:szCs w:val="20"/>
          <w:highlight w:val="none"/>
          <w:lang w:val="en-US" w:eastAsia="zh-CN"/>
        </w:rPr>
        <w:t>初步评审</w:t>
      </w:r>
      <w:r>
        <w:rPr>
          <w:rFonts w:hint="eastAsia" w:ascii="宋体" w:hAnsi="Calibri"/>
          <w:color w:val="auto"/>
          <w:sz w:val="24"/>
          <w:szCs w:val="20"/>
          <w:highlight w:val="none"/>
        </w:rPr>
        <w:t>的家数</w:t>
      </w:r>
      <w:r>
        <w:rPr>
          <w:rFonts w:hint="eastAsia" w:ascii="宋体" w:hAnsi="Calibri"/>
          <w:color w:val="auto"/>
          <w:sz w:val="24"/>
          <w:szCs w:val="20"/>
          <w:highlight w:val="none"/>
          <w:lang w:val="en-US" w:eastAsia="zh-CN"/>
        </w:rPr>
        <w:t>在</w:t>
      </w:r>
      <w:r>
        <w:rPr>
          <w:rFonts w:hint="default" w:ascii="宋体" w:hAnsi="Calibri"/>
          <w:color w:val="auto"/>
          <w:sz w:val="24"/>
          <w:szCs w:val="20"/>
          <w:highlight w:val="none"/>
          <w:lang w:val="en-US" w:eastAsia="zh-CN"/>
        </w:rPr>
        <w:t>2-</w:t>
      </w:r>
      <w:r>
        <w:rPr>
          <w:rFonts w:hint="eastAsia" w:ascii="宋体" w:hAnsi="Calibri"/>
          <w:color w:val="auto"/>
          <w:sz w:val="24"/>
          <w:szCs w:val="20"/>
          <w:highlight w:val="none"/>
          <w:lang w:val="en-US" w:eastAsia="zh-CN"/>
        </w:rPr>
        <w:t>3家</w:t>
      </w:r>
      <w:r>
        <w:rPr>
          <w:rFonts w:hint="eastAsia" w:ascii="宋体" w:hAnsi="Calibri"/>
          <w:color w:val="auto"/>
          <w:sz w:val="24"/>
          <w:szCs w:val="20"/>
          <w:highlight w:val="none"/>
        </w:rPr>
        <w:t>时，无须再进行综合评审打分，直接入库）。其中实施方案</w:t>
      </w:r>
      <w:r>
        <w:rPr>
          <w:rFonts w:hint="eastAsia" w:ascii="宋体" w:hAnsi="Calibri"/>
          <w:color w:val="auto"/>
          <w:sz w:val="24"/>
          <w:szCs w:val="20"/>
          <w:highlight w:val="none"/>
          <w:lang w:val="en-US" w:eastAsia="zh-CN"/>
        </w:rPr>
        <w:t>等涉及主观评分的部分</w:t>
      </w:r>
      <w:r>
        <w:rPr>
          <w:rFonts w:hint="eastAsia" w:ascii="宋体" w:hAnsi="Calibri"/>
          <w:color w:val="auto"/>
          <w:sz w:val="24"/>
          <w:szCs w:val="20"/>
          <w:highlight w:val="none"/>
        </w:rPr>
        <w:t>需由各评委独立打分，取所有评委打分的算术平均值作为投标人的最终得分，并按综合得分由高到</w:t>
      </w:r>
      <w:r>
        <w:rPr>
          <w:rFonts w:hint="eastAsia" w:ascii="宋体" w:hAnsi="Calibri"/>
          <w:color w:val="auto"/>
          <w:sz w:val="24"/>
          <w:szCs w:val="20"/>
          <w:highlight w:val="none"/>
          <w:lang w:val="en-US" w:eastAsia="zh-CN"/>
        </w:rPr>
        <w:t>低</w:t>
      </w:r>
      <w:r>
        <w:rPr>
          <w:rFonts w:hint="eastAsia" w:ascii="宋体" w:hAnsi="Calibri"/>
          <w:color w:val="auto"/>
          <w:sz w:val="24"/>
          <w:szCs w:val="20"/>
          <w:highlight w:val="none"/>
        </w:rPr>
        <w:t>的顺序进行排序，推荐</w:t>
      </w:r>
      <w:r>
        <w:rPr>
          <w:rFonts w:hint="default" w:ascii="宋体" w:hAnsi="Calibri"/>
          <w:color w:val="auto"/>
          <w:sz w:val="24"/>
          <w:szCs w:val="20"/>
          <w:highlight w:val="none"/>
          <w:lang w:val="en-US" w:eastAsia="zh-CN"/>
        </w:rPr>
        <w:t>2</w:t>
      </w:r>
      <w:r>
        <w:rPr>
          <w:rFonts w:hint="eastAsia" w:ascii="宋体" w:hAnsi="Calibri"/>
          <w:color w:val="auto"/>
          <w:sz w:val="24"/>
          <w:szCs w:val="20"/>
          <w:highlight w:val="none"/>
          <w:lang w:val="en-US" w:eastAsia="zh-CN"/>
        </w:rPr>
        <w:t>-5</w:t>
      </w:r>
      <w:r>
        <w:rPr>
          <w:rFonts w:hint="eastAsia" w:ascii="宋体" w:hAnsi="Calibri"/>
          <w:color w:val="auto"/>
          <w:sz w:val="24"/>
          <w:szCs w:val="20"/>
          <w:highlight w:val="none"/>
        </w:rPr>
        <w:t>家中标候选人，若推荐排名的投标人出现两家或两家以上得分相同时，以实施方案得分高的企业优先推荐中标候选人，若实施方案得分也相同的，则由招标人抽签确定。</w:t>
      </w:r>
    </w:p>
    <w:p w14:paraId="22895586">
      <w:pPr>
        <w:shd w:val="clear"/>
        <w:spacing w:line="360" w:lineRule="auto"/>
        <w:rPr>
          <w:rFonts w:ascii="宋体" w:hAnsi="Calibri"/>
          <w:color w:val="auto"/>
          <w:sz w:val="24"/>
          <w:szCs w:val="20"/>
          <w:highlight w:val="none"/>
        </w:rPr>
      </w:pPr>
      <w:r>
        <w:rPr>
          <w:rFonts w:hint="eastAsia" w:ascii="宋体" w:hAnsi="Calibri"/>
          <w:color w:val="auto"/>
          <w:sz w:val="24"/>
          <w:szCs w:val="20"/>
          <w:highlight w:val="none"/>
        </w:rPr>
        <w:t>5.4、评标委员会发现投标人的投标文件存在实质性偏差或不能响应招标文件要求的或评标委员会认定的应当无效标的其他情形，经全体评标委员会成员同意后，可判定其投标文件无效，或作无效标处理。</w:t>
      </w:r>
    </w:p>
    <w:p w14:paraId="6CE56AF4">
      <w:pPr>
        <w:shd w:val="clear"/>
        <w:spacing w:line="360" w:lineRule="auto"/>
        <w:ind w:left="713" w:hanging="712" w:hangingChars="297"/>
        <w:rPr>
          <w:rFonts w:ascii="宋体" w:hAnsi="Calibri"/>
          <w:color w:val="auto"/>
          <w:sz w:val="24"/>
          <w:szCs w:val="20"/>
          <w:highlight w:val="none"/>
        </w:rPr>
      </w:pPr>
      <w:r>
        <w:rPr>
          <w:rFonts w:hint="eastAsia" w:ascii="宋体" w:hAnsi="Calibri"/>
          <w:color w:val="auto"/>
          <w:sz w:val="24"/>
          <w:szCs w:val="20"/>
          <w:highlight w:val="none"/>
        </w:rPr>
        <w:t>6、投标文件的澄清和补正</w:t>
      </w:r>
    </w:p>
    <w:p w14:paraId="1B69354C">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6.1在评标过程中，评标委员会可以书面形式要求投标人对所提交的投标文件中不明确的内容进行书面澄清或说明，或者对细微偏差进行补正。评标委员会不接受投标人主动提出的澄清、说明或补正。</w:t>
      </w:r>
    </w:p>
    <w:p w14:paraId="063CDFEA">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6.2澄清、说明和补正不得改变投标文件的实质性内容。投标人的书面澄清、说明和补正属于投标文件的组成部分。</w:t>
      </w:r>
    </w:p>
    <w:p w14:paraId="1CAF368D">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6.3评标委员会对投标人提交的澄清、说明或补正有疑问的，可以要求投标人进一步澄清、说明或补正，直至满足评标委员会的要求。</w:t>
      </w:r>
    </w:p>
    <w:p w14:paraId="67038A80">
      <w:pPr>
        <w:shd w:val="clear"/>
        <w:spacing w:line="360" w:lineRule="auto"/>
        <w:ind w:left="713" w:hanging="712" w:hangingChars="297"/>
        <w:rPr>
          <w:rFonts w:ascii="宋体" w:hAnsi="Calibri"/>
          <w:color w:val="auto"/>
          <w:sz w:val="24"/>
          <w:szCs w:val="20"/>
          <w:highlight w:val="none"/>
        </w:rPr>
      </w:pPr>
      <w:r>
        <w:rPr>
          <w:rFonts w:hint="eastAsia" w:ascii="宋体" w:hAnsi="Calibri"/>
          <w:color w:val="auto"/>
          <w:sz w:val="24"/>
          <w:szCs w:val="20"/>
          <w:highlight w:val="none"/>
        </w:rPr>
        <w:t>7、评标结果</w:t>
      </w:r>
    </w:p>
    <w:p w14:paraId="2128562E">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7.1评标委员会按照招标文件规定推荐中标候选人。</w:t>
      </w:r>
    </w:p>
    <w:p w14:paraId="1640DBB8">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7.2 评标委员会完成评标后，应当向招标人提交书面评标报告。评标报告应当如实记载以下内容：</w:t>
      </w:r>
    </w:p>
    <w:p w14:paraId="01E43970">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(1)基本情况和数据表。</w:t>
      </w:r>
    </w:p>
    <w:p w14:paraId="7FED2487">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(2)评标委员会成员名单。</w:t>
      </w:r>
    </w:p>
    <w:p w14:paraId="7A5C0FBD">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(3)开标记录。</w:t>
      </w:r>
    </w:p>
    <w:p w14:paraId="3F924150">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(4)符合要求的投标人一览表。</w:t>
      </w:r>
    </w:p>
    <w:p w14:paraId="05338C18">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(5)无效标情况说明。</w:t>
      </w:r>
    </w:p>
    <w:p w14:paraId="73BF038E">
      <w:pPr>
        <w:shd w:val="clear"/>
        <w:spacing w:line="360" w:lineRule="auto"/>
        <w:ind w:firstLine="360" w:firstLineChars="150"/>
        <w:rPr>
          <w:rFonts w:ascii="宋体" w:hAnsi="Calibri"/>
          <w:color w:val="auto"/>
          <w:sz w:val="24"/>
          <w:szCs w:val="20"/>
          <w:highlight w:val="none"/>
        </w:rPr>
      </w:pPr>
      <w:r>
        <w:rPr>
          <w:rFonts w:hint="eastAsia" w:ascii="宋体" w:hAnsi="Calibri"/>
          <w:color w:val="auto"/>
          <w:sz w:val="24"/>
          <w:szCs w:val="20"/>
          <w:highlight w:val="none"/>
        </w:rPr>
        <w:t>(6)评标标准、评标方法或者评标因素一览表。</w:t>
      </w:r>
    </w:p>
    <w:p w14:paraId="386385E3">
      <w:pPr>
        <w:pStyle w:val="14"/>
        <w:shd w:val="clear"/>
        <w:rPr>
          <w:color w:val="auto"/>
          <w:highlight w:val="none"/>
        </w:rPr>
        <w:sectPr>
          <w:footerReference r:id="rId4" w:type="first"/>
          <w:footerReference r:id="rId3" w:type="default"/>
          <w:pgSz w:w="11906" w:h="16838"/>
          <w:pgMar w:top="1440" w:right="1080" w:bottom="1440" w:left="1080" w:header="720" w:footer="720" w:gutter="0"/>
          <w:pgNumType w:start="1"/>
          <w:cols w:space="720" w:num="1"/>
          <w:titlePg/>
          <w:docGrid w:type="linesAndChars" w:linePitch="312" w:charSpace="0"/>
        </w:sectPr>
      </w:pPr>
    </w:p>
    <w:p w14:paraId="0F22EC23">
      <w:pPr>
        <w:shd w:val="clear"/>
        <w:spacing w:line="300" w:lineRule="auto"/>
        <w:jc w:val="center"/>
        <w:outlineLvl w:val="0"/>
        <w:rPr>
          <w:rFonts w:hint="eastAsia" w:ascii="Cambria" w:hAnsi="Cambria" w:eastAsia="宋体"/>
          <w:b/>
          <w:bCs/>
          <w:color w:val="auto"/>
          <w:sz w:val="32"/>
          <w:szCs w:val="32"/>
          <w:highlight w:val="none"/>
          <w:lang w:eastAsia="zh-CN"/>
        </w:rPr>
      </w:pPr>
      <w:bookmarkStart w:id="303" w:name="_Toc23078"/>
      <w:bookmarkStart w:id="304" w:name="_Toc493081621"/>
      <w:bookmarkStart w:id="305" w:name="_Toc434829634"/>
      <w:r>
        <w:rPr>
          <w:rFonts w:hint="eastAsia" w:ascii="宋体" w:hAnsi="宋体"/>
          <w:b/>
          <w:color w:val="auto"/>
          <w:sz w:val="32"/>
          <w:szCs w:val="20"/>
          <w:highlight w:val="none"/>
        </w:rPr>
        <w:t xml:space="preserve">第四章 </w:t>
      </w:r>
      <w:bookmarkEnd w:id="303"/>
      <w:r>
        <w:rPr>
          <w:rFonts w:hint="eastAsia" w:ascii="Cambria" w:hAnsi="Cambria"/>
          <w:b/>
          <w:bCs/>
          <w:color w:val="auto"/>
          <w:sz w:val="32"/>
          <w:szCs w:val="32"/>
          <w:highlight w:val="none"/>
          <w:lang w:val="en-US" w:eastAsia="zh-CN"/>
        </w:rPr>
        <w:t>入库协议</w:t>
      </w:r>
    </w:p>
    <w:p w14:paraId="1EDCE7F1">
      <w:pPr>
        <w:spacing w:line="312" w:lineRule="auto"/>
        <w:ind w:firstLine="472" w:firstLineChars="196"/>
        <w:rPr>
          <w:rFonts w:hint="eastAsia" w:ascii="宋体" w:hAnsi="宋体" w:eastAsia="宋体" w:cs="Times New Roman"/>
          <w:b/>
          <w:bCs/>
          <w:color w:val="auto"/>
          <w:sz w:val="24"/>
          <w:szCs w:val="24"/>
          <w:highlight w:val="none"/>
        </w:rPr>
      </w:pPr>
    </w:p>
    <w:p w14:paraId="285D43C0">
      <w:pPr>
        <w:spacing w:line="312" w:lineRule="auto"/>
        <w:ind w:firstLine="472" w:firstLineChars="196"/>
        <w:rPr>
          <w:rFonts w:ascii="宋体" w:hAnsi="宋体" w:eastAsia="宋体" w:cs="Times New Roman"/>
          <w:b/>
          <w:bCs/>
          <w:color w:val="auto"/>
          <w:sz w:val="24"/>
          <w:szCs w:val="24"/>
          <w:highlight w:val="none"/>
        </w:rPr>
      </w:pPr>
      <w:r>
        <w:rPr>
          <w:rFonts w:hint="eastAsia" w:ascii="宋体" w:hAnsi="宋体" w:eastAsia="宋体" w:cs="Times New Roman"/>
          <w:b/>
          <w:bCs/>
          <w:color w:val="auto"/>
          <w:sz w:val="24"/>
          <w:szCs w:val="24"/>
          <w:highlight w:val="none"/>
        </w:rPr>
        <w:t>甲方：阜阳市颍科创新投资有限公司</w:t>
      </w:r>
    </w:p>
    <w:p w14:paraId="103E5561">
      <w:pPr>
        <w:spacing w:line="312" w:lineRule="auto"/>
        <w:ind w:firstLine="472" w:firstLineChars="196"/>
        <w:rPr>
          <w:rFonts w:ascii="宋体" w:hAnsi="宋体" w:eastAsia="宋体" w:cs="Times New Roman"/>
          <w:color w:val="auto"/>
          <w:sz w:val="20"/>
          <w:szCs w:val="20"/>
          <w:highlight w:val="none"/>
          <w:u w:val="single"/>
        </w:rPr>
      </w:pPr>
      <w:r>
        <w:rPr>
          <w:rFonts w:hint="eastAsia" w:ascii="宋体" w:hAnsi="宋体" w:eastAsia="宋体" w:cs="Times New Roman"/>
          <w:b/>
          <w:bCs/>
          <w:color w:val="auto"/>
          <w:sz w:val="24"/>
          <w:szCs w:val="24"/>
          <w:highlight w:val="none"/>
        </w:rPr>
        <w:t>乙方</w:t>
      </w:r>
      <w:r>
        <w:rPr>
          <w:rFonts w:hint="eastAsia" w:ascii="宋体" w:hAnsi="宋体" w:eastAsia="宋体" w:cs="Times New Roman"/>
          <w:color w:val="auto"/>
          <w:sz w:val="24"/>
          <w:szCs w:val="24"/>
          <w:highlight w:val="none"/>
        </w:rPr>
        <w:t>：</w:t>
      </w:r>
      <w:r>
        <w:rPr>
          <w:rFonts w:hint="eastAsia" w:ascii="宋体" w:hAnsi="宋体" w:eastAsia="宋体" w:cs="Times New Roman"/>
          <w:color w:val="auto"/>
          <w:sz w:val="20"/>
          <w:szCs w:val="20"/>
          <w:highlight w:val="none"/>
          <w:u w:val="single"/>
        </w:rPr>
        <w:t xml:space="preserve">                                            </w:t>
      </w:r>
    </w:p>
    <w:p w14:paraId="7BFC7486">
      <w:pPr>
        <w:shd w:val="clear" w:color="auto" w:fill="FFFFFF"/>
        <w:snapToGrid w:val="0"/>
        <w:spacing w:before="100" w:beforeAutospacing="1" w:after="100" w:afterAutospacing="1" w:line="360" w:lineRule="auto"/>
        <w:ind w:firstLine="440" w:firstLineChars="200"/>
        <w:rPr>
          <w:rFonts w:ascii="Calibri" w:hAnsi="Calibri" w:eastAsia="宋体" w:cs="Times New Roman"/>
          <w:bCs/>
          <w:color w:val="auto"/>
          <w:sz w:val="22"/>
          <w:highlight w:val="none"/>
        </w:rPr>
      </w:pPr>
      <w:r>
        <w:rPr>
          <w:rFonts w:hint="eastAsia" w:ascii="Calibri" w:hAnsi="Calibri" w:eastAsia="宋体" w:cs="Times New Roman"/>
          <w:bCs/>
          <w:color w:val="auto"/>
          <w:sz w:val="22"/>
          <w:highlight w:val="none"/>
        </w:rPr>
        <w:t>甲方通过</w:t>
      </w:r>
      <w:r>
        <w:rPr>
          <w:rFonts w:hint="eastAsia" w:ascii="Calibri" w:hAnsi="Calibri" w:cs="Times New Roman"/>
          <w:bCs/>
          <w:color w:val="auto"/>
          <w:sz w:val="22"/>
          <w:highlight w:val="none"/>
          <w:lang w:val="en-US" w:eastAsia="zh-CN"/>
        </w:rPr>
        <w:t>公开招标</w:t>
      </w:r>
      <w:r>
        <w:rPr>
          <w:rFonts w:hint="eastAsia" w:ascii="Calibri" w:hAnsi="Calibri" w:eastAsia="宋体" w:cs="Times New Roman"/>
          <w:bCs/>
          <w:color w:val="auto"/>
          <w:sz w:val="22"/>
          <w:highlight w:val="none"/>
        </w:rPr>
        <w:t>确定乙方为阜阳市颍科创新投资有限公司中介机构备选库入库单位之一，现依据《民法典》及有关法律法规，双方本着平等自愿的原则，共同达成以下协议：</w:t>
      </w:r>
    </w:p>
    <w:p w14:paraId="5FB35F38">
      <w:pPr>
        <w:shd w:val="clear" w:color="auto" w:fill="FFFFFF"/>
        <w:snapToGrid w:val="0"/>
        <w:spacing w:before="100" w:beforeAutospacing="1" w:after="100" w:afterAutospacing="1" w:line="360" w:lineRule="auto"/>
        <w:rPr>
          <w:rFonts w:ascii="Calibri" w:hAnsi="Calibri" w:eastAsia="宋体" w:cs="Times New Roman"/>
          <w:b/>
          <w:color w:val="auto"/>
          <w:sz w:val="22"/>
          <w:highlight w:val="none"/>
        </w:rPr>
      </w:pPr>
      <w:r>
        <w:rPr>
          <w:rFonts w:hint="eastAsia" w:ascii="Calibri" w:hAnsi="Calibri" w:eastAsia="宋体" w:cs="Times New Roman"/>
          <w:b/>
          <w:color w:val="auto"/>
          <w:sz w:val="22"/>
          <w:highlight w:val="none"/>
        </w:rPr>
        <w:t>一、服务期限、业务范围及要求</w:t>
      </w:r>
    </w:p>
    <w:p w14:paraId="1C04A691">
      <w:pPr>
        <w:autoSpaceDE w:val="0"/>
        <w:autoSpaceDN w:val="0"/>
        <w:adjustRightInd w:val="0"/>
        <w:spacing w:after="120" w:afterLines="50" w:line="360" w:lineRule="auto"/>
        <w:ind w:firstLine="440" w:firstLineChars="200"/>
        <w:jc w:val="left"/>
        <w:rPr>
          <w:rFonts w:ascii="宋体" w:hAnsi="宋体" w:eastAsia="宋体" w:cs="宋体"/>
          <w:bCs/>
          <w:color w:val="auto"/>
          <w:sz w:val="22"/>
          <w:highlight w:val="none"/>
        </w:rPr>
      </w:pPr>
      <w:r>
        <w:rPr>
          <w:rFonts w:hint="eastAsia" w:ascii="宋体" w:hAnsi="宋体" w:eastAsia="宋体" w:cs="宋体"/>
          <w:bCs/>
          <w:color w:val="auto"/>
          <w:sz w:val="22"/>
          <w:highlight w:val="none"/>
        </w:rPr>
        <w:t>1.服务期限：3年；</w:t>
      </w:r>
    </w:p>
    <w:p w14:paraId="6BAB1C6F">
      <w:pPr>
        <w:autoSpaceDE w:val="0"/>
        <w:autoSpaceDN w:val="0"/>
        <w:adjustRightInd w:val="0"/>
        <w:spacing w:after="120" w:afterLines="50" w:line="360" w:lineRule="auto"/>
        <w:ind w:firstLine="660" w:firstLineChars="300"/>
        <w:jc w:val="left"/>
        <w:rPr>
          <w:rFonts w:ascii="宋体" w:hAnsi="宋体" w:eastAsia="宋体" w:cs="宋体"/>
          <w:color w:val="auto"/>
          <w:kern w:val="0"/>
          <w:sz w:val="22"/>
          <w:szCs w:val="20"/>
          <w:highlight w:val="none"/>
        </w:rPr>
      </w:pPr>
      <w:r>
        <w:rPr>
          <w:rFonts w:hint="eastAsia" w:ascii="宋体" w:hAnsi="宋体" w:eastAsia="宋体" w:cs="宋体"/>
          <w:bCs/>
          <w:color w:val="auto"/>
          <w:sz w:val="22"/>
          <w:highlight w:val="none"/>
        </w:rPr>
        <w:t>1.1.服务期限内签订方式：单个项目另行签订服务合同</w:t>
      </w:r>
      <w:r>
        <w:rPr>
          <w:rFonts w:hint="eastAsia" w:ascii="宋体" w:hAnsi="宋体" w:eastAsia="宋体" w:cs="宋体"/>
          <w:color w:val="auto"/>
          <w:kern w:val="0"/>
          <w:sz w:val="22"/>
          <w:szCs w:val="20"/>
          <w:highlight w:val="none"/>
        </w:rPr>
        <w:t xml:space="preserve">           </w:t>
      </w:r>
    </w:p>
    <w:p w14:paraId="673B1B9C">
      <w:pPr>
        <w:autoSpaceDE w:val="0"/>
        <w:autoSpaceDN w:val="0"/>
        <w:adjustRightInd w:val="0"/>
        <w:spacing w:after="120" w:afterLines="50" w:line="360" w:lineRule="auto"/>
        <w:ind w:firstLine="660" w:firstLineChars="300"/>
        <w:jc w:val="left"/>
        <w:rPr>
          <w:rFonts w:ascii="宋体" w:hAnsi="宋体" w:eastAsia="宋体" w:cs="宋体"/>
          <w:bCs/>
          <w:color w:val="auto"/>
          <w:sz w:val="22"/>
          <w:highlight w:val="none"/>
        </w:rPr>
      </w:pPr>
      <w:r>
        <w:rPr>
          <w:rFonts w:hint="eastAsia" w:ascii="宋体" w:hAnsi="宋体" w:eastAsia="宋体" w:cs="宋体"/>
          <w:bCs/>
          <w:color w:val="auto"/>
          <w:sz w:val="22"/>
          <w:highlight w:val="none"/>
        </w:rPr>
        <w:t>1.2.本轮合同期限：3年 ，自</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年</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月</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日至</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年</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月</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日。</w:t>
      </w:r>
    </w:p>
    <w:p w14:paraId="52E816FA">
      <w:pPr>
        <w:numPr>
          <w:ilvl w:val="255"/>
          <w:numId w:val="0"/>
        </w:numPr>
        <w:autoSpaceDE w:val="0"/>
        <w:autoSpaceDN w:val="0"/>
        <w:adjustRightInd w:val="0"/>
        <w:spacing w:after="120" w:afterLines="50" w:line="360" w:lineRule="auto"/>
        <w:ind w:firstLine="440" w:firstLineChars="200"/>
        <w:rPr>
          <w:rFonts w:ascii="宋体" w:hAnsi="宋体" w:eastAsia="宋体" w:cs="宋体"/>
          <w:bCs/>
          <w:color w:val="auto"/>
          <w:sz w:val="22"/>
          <w:highlight w:val="none"/>
        </w:rPr>
      </w:pPr>
      <w:r>
        <w:rPr>
          <w:rFonts w:hint="eastAsia" w:ascii="宋体" w:hAnsi="宋体" w:eastAsia="宋体" w:cs="宋体"/>
          <w:bCs/>
          <w:color w:val="auto"/>
          <w:sz w:val="22"/>
          <w:highlight w:val="none"/>
        </w:rPr>
        <w:t>2.服务业务范围详见磋商文件。</w:t>
      </w:r>
    </w:p>
    <w:p w14:paraId="3F09A4F6">
      <w:pPr>
        <w:autoSpaceDE w:val="0"/>
        <w:autoSpaceDN w:val="0"/>
        <w:adjustRightInd w:val="0"/>
        <w:spacing w:after="120" w:afterLines="50" w:line="360" w:lineRule="auto"/>
        <w:ind w:firstLine="440" w:firstLineChars="200"/>
        <w:jc w:val="left"/>
        <w:rPr>
          <w:rFonts w:ascii="宋体" w:hAnsi="宋体" w:eastAsia="宋体" w:cs="宋体"/>
          <w:bCs/>
          <w:color w:val="auto"/>
          <w:sz w:val="22"/>
          <w:highlight w:val="none"/>
        </w:rPr>
      </w:pPr>
      <w:r>
        <w:rPr>
          <w:rFonts w:hint="eastAsia" w:ascii="宋体" w:hAnsi="宋体" w:eastAsia="宋体" w:cs="宋体"/>
          <w:bCs/>
          <w:color w:val="auto"/>
          <w:sz w:val="22"/>
          <w:highlight w:val="none"/>
        </w:rPr>
        <w:t>3.服务说明</w:t>
      </w:r>
    </w:p>
    <w:p w14:paraId="6EF521F6">
      <w:pPr>
        <w:autoSpaceDE w:val="0"/>
        <w:autoSpaceDN w:val="0"/>
        <w:adjustRightInd w:val="0"/>
        <w:spacing w:after="120" w:afterLines="50" w:line="360" w:lineRule="auto"/>
        <w:ind w:left="630" w:leftChars="300"/>
        <w:jc w:val="left"/>
        <w:rPr>
          <w:rFonts w:ascii="宋体" w:hAnsi="宋体" w:eastAsia="宋体" w:cs="宋体"/>
          <w:bCs/>
          <w:color w:val="auto"/>
          <w:sz w:val="22"/>
          <w:highlight w:val="none"/>
        </w:rPr>
      </w:pPr>
      <w:r>
        <w:rPr>
          <w:rFonts w:hint="eastAsia" w:ascii="宋体" w:hAnsi="宋体" w:eastAsia="宋体" w:cs="宋体"/>
          <w:bCs/>
          <w:color w:val="auto"/>
          <w:sz w:val="22"/>
          <w:highlight w:val="none"/>
        </w:rPr>
        <w:t>3.1.服务期限内，甲方不保证乙方所承担的最低服务项目数量、大小以及服务项目的连续性；</w:t>
      </w:r>
    </w:p>
    <w:p w14:paraId="11B553AD">
      <w:pPr>
        <w:autoSpaceDE w:val="0"/>
        <w:autoSpaceDN w:val="0"/>
        <w:adjustRightInd w:val="0"/>
        <w:spacing w:after="120" w:afterLines="50" w:line="360" w:lineRule="auto"/>
        <w:ind w:firstLine="660" w:firstLineChars="300"/>
        <w:jc w:val="left"/>
        <w:rPr>
          <w:rFonts w:ascii="宋体" w:hAnsi="宋体" w:eastAsia="宋体" w:cs="宋体"/>
          <w:bCs/>
          <w:color w:val="auto"/>
          <w:sz w:val="22"/>
          <w:highlight w:val="none"/>
        </w:rPr>
      </w:pPr>
      <w:r>
        <w:rPr>
          <w:rFonts w:hint="eastAsia" w:ascii="宋体" w:hAnsi="宋体" w:eastAsia="宋体" w:cs="宋体"/>
          <w:bCs/>
          <w:color w:val="auto"/>
          <w:sz w:val="22"/>
          <w:highlight w:val="none"/>
        </w:rPr>
        <w:t>3.2.甲方将以询价或抽取的方式，决定具体项目委托单位；</w:t>
      </w:r>
    </w:p>
    <w:p w14:paraId="0A73A423">
      <w:pPr>
        <w:autoSpaceDE w:val="0"/>
        <w:autoSpaceDN w:val="0"/>
        <w:adjustRightInd w:val="0"/>
        <w:spacing w:after="120" w:afterLines="50" w:line="360" w:lineRule="auto"/>
        <w:ind w:left="630" w:leftChars="300"/>
        <w:jc w:val="left"/>
        <w:rPr>
          <w:rFonts w:ascii="宋体" w:hAnsi="宋体" w:eastAsia="宋体" w:cs="宋体"/>
          <w:bCs/>
          <w:color w:val="auto"/>
          <w:sz w:val="22"/>
          <w:highlight w:val="none"/>
        </w:rPr>
      </w:pPr>
      <w:r>
        <w:rPr>
          <w:rFonts w:hint="eastAsia" w:ascii="宋体" w:hAnsi="宋体" w:eastAsia="宋体" w:cs="宋体"/>
          <w:bCs/>
          <w:color w:val="auto"/>
          <w:sz w:val="22"/>
          <w:highlight w:val="none"/>
        </w:rPr>
        <w:t>3.3.乙方应在接到具体项目委托后，及时组织相关人员提供服务且保证服务质量，并及时将配备人员相关信息报送甲方；</w:t>
      </w:r>
    </w:p>
    <w:p w14:paraId="5BDCF928">
      <w:pPr>
        <w:spacing w:line="360" w:lineRule="auto"/>
        <w:rPr>
          <w:rFonts w:ascii="宋体" w:hAnsi="宋体" w:eastAsia="宋体" w:cs="宋体"/>
          <w:color w:val="auto"/>
          <w:sz w:val="22"/>
          <w:highlight w:val="none"/>
        </w:rPr>
      </w:pPr>
      <w:r>
        <w:rPr>
          <w:rFonts w:hint="eastAsia" w:ascii="宋体" w:hAnsi="宋体" w:eastAsia="宋体" w:cs="宋体"/>
          <w:b/>
          <w:bCs/>
          <w:color w:val="auto"/>
          <w:sz w:val="22"/>
          <w:highlight w:val="none"/>
        </w:rPr>
        <w:t>二、甲方的权利</w:t>
      </w:r>
    </w:p>
    <w:p w14:paraId="0025B59C">
      <w:pPr>
        <w:spacing w:line="360" w:lineRule="auto"/>
        <w:ind w:left="420" w:leftChars="200"/>
        <w:rPr>
          <w:rFonts w:ascii="宋体" w:hAnsi="宋体" w:eastAsia="宋体" w:cs="宋体"/>
          <w:color w:val="auto"/>
          <w:sz w:val="22"/>
          <w:highlight w:val="none"/>
        </w:rPr>
      </w:pPr>
      <w:r>
        <w:rPr>
          <w:rFonts w:hint="eastAsia" w:ascii="宋体" w:hAnsi="宋体" w:eastAsia="宋体" w:cs="宋体"/>
          <w:color w:val="auto"/>
          <w:sz w:val="22"/>
          <w:highlight w:val="none"/>
        </w:rPr>
        <w:t>1.有权管理监督入库服务单位（乙方），对具体项目的委托单位进行选取；</w:t>
      </w:r>
    </w:p>
    <w:p w14:paraId="46D9B70F">
      <w:pPr>
        <w:spacing w:line="360" w:lineRule="auto"/>
        <w:ind w:left="420" w:leftChars="200"/>
        <w:rPr>
          <w:rFonts w:ascii="宋体" w:hAnsi="宋体" w:eastAsia="宋体" w:cs="宋体"/>
          <w:color w:val="auto"/>
          <w:sz w:val="22"/>
          <w:highlight w:val="none"/>
        </w:rPr>
      </w:pPr>
      <w:r>
        <w:rPr>
          <w:rFonts w:hint="eastAsia" w:ascii="宋体" w:hAnsi="宋体" w:eastAsia="宋体" w:cs="宋体"/>
          <w:color w:val="auto"/>
          <w:sz w:val="22"/>
          <w:highlight w:val="none"/>
        </w:rPr>
        <w:t>2.有权对入库服务单位的工作情况进行考评；</w:t>
      </w:r>
    </w:p>
    <w:p w14:paraId="6A43186E">
      <w:pPr>
        <w:spacing w:line="360" w:lineRule="auto"/>
        <w:ind w:left="420" w:leftChars="200"/>
        <w:rPr>
          <w:rFonts w:ascii="宋体" w:hAnsi="宋体" w:eastAsia="宋体" w:cs="宋体"/>
          <w:color w:val="auto"/>
          <w:sz w:val="22"/>
          <w:highlight w:val="none"/>
        </w:rPr>
      </w:pPr>
      <w:r>
        <w:rPr>
          <w:rFonts w:hint="eastAsia" w:ascii="宋体" w:hAnsi="宋体" w:eastAsia="宋体" w:cs="宋体"/>
          <w:color w:val="auto"/>
          <w:sz w:val="22"/>
          <w:highlight w:val="none"/>
        </w:rPr>
        <w:t>3.有权考察监督乙方服务质量，依据乙方具体项目服务质量有权要求乙方更换具体服务人员；</w:t>
      </w:r>
    </w:p>
    <w:p w14:paraId="2AB103A7">
      <w:pPr>
        <w:spacing w:line="360" w:lineRule="auto"/>
        <w:ind w:left="420" w:leftChars="200"/>
        <w:rPr>
          <w:rFonts w:ascii="宋体" w:hAnsi="宋体" w:eastAsia="宋体" w:cs="宋体"/>
          <w:color w:val="auto"/>
          <w:sz w:val="22"/>
          <w:highlight w:val="none"/>
        </w:rPr>
      </w:pPr>
      <w:r>
        <w:rPr>
          <w:rFonts w:hint="eastAsia" w:ascii="宋体" w:hAnsi="宋体" w:eastAsia="宋体" w:cs="宋体"/>
          <w:color w:val="auto"/>
          <w:sz w:val="22"/>
          <w:highlight w:val="none"/>
        </w:rPr>
        <w:t>4.针对乙方服务质量、服务规范以及廉洁情况，有权可以对乙方做出对应的处罚，并追究相关法律及经济责任；</w:t>
      </w:r>
    </w:p>
    <w:p w14:paraId="03BCA433">
      <w:pPr>
        <w:numPr>
          <w:ilvl w:val="255"/>
          <w:numId w:val="0"/>
        </w:numPr>
        <w:spacing w:line="360" w:lineRule="auto"/>
        <w:jc w:val="left"/>
        <w:rPr>
          <w:rFonts w:ascii="宋体" w:hAnsi="宋体" w:eastAsia="宋体" w:cs="宋体"/>
          <w:b/>
          <w:bCs/>
          <w:color w:val="auto"/>
          <w:sz w:val="22"/>
          <w:highlight w:val="none"/>
        </w:rPr>
      </w:pPr>
      <w:r>
        <w:rPr>
          <w:rFonts w:hint="eastAsia" w:ascii="宋体" w:hAnsi="宋体" w:eastAsia="宋体" w:cs="宋体"/>
          <w:b/>
          <w:bCs/>
          <w:color w:val="auto"/>
          <w:sz w:val="22"/>
          <w:highlight w:val="none"/>
        </w:rPr>
        <w:t>三、甲方的义务</w:t>
      </w:r>
    </w:p>
    <w:p w14:paraId="4D6F5D09">
      <w:pPr>
        <w:spacing w:line="360" w:lineRule="auto"/>
        <w:ind w:left="420" w:leftChars="200"/>
        <w:jc w:val="left"/>
        <w:rPr>
          <w:rFonts w:ascii="宋体" w:hAnsi="宋体" w:eastAsia="宋体" w:cs="宋体"/>
          <w:color w:val="auto"/>
          <w:sz w:val="22"/>
          <w:highlight w:val="none"/>
        </w:rPr>
      </w:pPr>
      <w:r>
        <w:rPr>
          <w:rFonts w:hint="eastAsia" w:ascii="宋体" w:hAnsi="宋体" w:eastAsia="宋体" w:cs="宋体"/>
          <w:color w:val="auto"/>
          <w:sz w:val="22"/>
          <w:highlight w:val="none"/>
        </w:rPr>
        <w:t>1.为乙方的服务工作提供必要的配合；</w:t>
      </w:r>
    </w:p>
    <w:p w14:paraId="688240B3">
      <w:pPr>
        <w:spacing w:line="360" w:lineRule="auto"/>
        <w:ind w:left="420" w:leftChars="200"/>
        <w:jc w:val="left"/>
        <w:rPr>
          <w:rFonts w:ascii="宋体" w:hAnsi="宋体" w:eastAsia="宋体" w:cs="宋体"/>
          <w:color w:val="auto"/>
          <w:sz w:val="22"/>
          <w:highlight w:val="none"/>
        </w:rPr>
      </w:pPr>
      <w:r>
        <w:rPr>
          <w:rFonts w:hint="eastAsia" w:ascii="宋体" w:hAnsi="宋体" w:eastAsia="宋体" w:cs="宋体"/>
          <w:color w:val="auto"/>
          <w:sz w:val="22"/>
          <w:highlight w:val="none"/>
        </w:rPr>
        <w:t>2.及时与入库单位签订本入库协议；</w:t>
      </w:r>
    </w:p>
    <w:p w14:paraId="72F10463">
      <w:pPr>
        <w:spacing w:line="360" w:lineRule="auto"/>
        <w:ind w:left="420" w:leftChars="200"/>
        <w:jc w:val="left"/>
        <w:rPr>
          <w:rFonts w:ascii="宋体" w:hAnsi="宋体" w:eastAsia="宋体" w:cs="宋体"/>
          <w:color w:val="auto"/>
          <w:sz w:val="22"/>
          <w:highlight w:val="none"/>
        </w:rPr>
      </w:pPr>
      <w:r>
        <w:rPr>
          <w:rFonts w:hint="eastAsia" w:ascii="宋体" w:hAnsi="宋体" w:eastAsia="宋体" w:cs="宋体"/>
          <w:color w:val="auto"/>
          <w:sz w:val="22"/>
          <w:highlight w:val="none"/>
        </w:rPr>
        <w:t>3.及时组织具体项目委托单位的选取工作，并依据选取结果及时签订单个项目服务合同；</w:t>
      </w:r>
    </w:p>
    <w:p w14:paraId="1C193AC6">
      <w:pPr>
        <w:spacing w:line="360" w:lineRule="auto"/>
        <w:ind w:left="420" w:leftChars="200"/>
        <w:jc w:val="left"/>
        <w:rPr>
          <w:rFonts w:ascii="宋体" w:hAnsi="宋体" w:eastAsia="宋体" w:cs="宋体"/>
          <w:color w:val="auto"/>
          <w:sz w:val="22"/>
          <w:highlight w:val="none"/>
        </w:rPr>
      </w:pPr>
      <w:r>
        <w:rPr>
          <w:rFonts w:hint="eastAsia" w:ascii="宋体" w:hAnsi="宋体" w:eastAsia="宋体" w:cs="宋体"/>
          <w:color w:val="auto"/>
          <w:sz w:val="22"/>
          <w:highlight w:val="none"/>
        </w:rPr>
        <w:t>4.法律、法规规定的其它义务；</w:t>
      </w:r>
    </w:p>
    <w:p w14:paraId="3F00CA7B">
      <w:pPr>
        <w:numPr>
          <w:ilvl w:val="255"/>
          <w:numId w:val="0"/>
        </w:numPr>
        <w:spacing w:line="360" w:lineRule="auto"/>
        <w:jc w:val="left"/>
        <w:rPr>
          <w:rFonts w:ascii="宋体" w:hAnsi="宋体" w:eastAsia="宋体" w:cs="宋体"/>
          <w:b/>
          <w:bCs/>
          <w:color w:val="auto"/>
          <w:sz w:val="22"/>
          <w:highlight w:val="none"/>
        </w:rPr>
      </w:pPr>
      <w:r>
        <w:rPr>
          <w:rFonts w:hint="eastAsia" w:ascii="宋体" w:hAnsi="宋体" w:eastAsia="宋体" w:cs="宋体"/>
          <w:b/>
          <w:bCs/>
          <w:color w:val="auto"/>
          <w:sz w:val="22"/>
          <w:highlight w:val="none"/>
        </w:rPr>
        <w:t>四、乙方的权利</w:t>
      </w:r>
    </w:p>
    <w:p w14:paraId="2C9EB178">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1.在库期间，有权接受甲方的项目委托；</w:t>
      </w:r>
    </w:p>
    <w:p w14:paraId="6516E922">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2.有权要求甲方提供服务项目的有关材料或要求相关人员配合；</w:t>
      </w:r>
    </w:p>
    <w:p w14:paraId="25D51737">
      <w:pPr>
        <w:shd w:val="clear" w:color="auto" w:fill="FFFFFF"/>
        <w:snapToGrid w:val="0"/>
        <w:spacing w:line="360" w:lineRule="auto"/>
        <w:rPr>
          <w:rFonts w:ascii="宋体" w:hAnsi="宋体" w:eastAsia="宋体" w:cs="宋体"/>
          <w:b/>
          <w:color w:val="auto"/>
          <w:sz w:val="22"/>
          <w:highlight w:val="none"/>
        </w:rPr>
      </w:pPr>
      <w:r>
        <w:rPr>
          <w:rFonts w:hint="eastAsia" w:ascii="宋体" w:hAnsi="宋体" w:eastAsia="宋体" w:cs="宋体"/>
          <w:b/>
          <w:color w:val="auto"/>
          <w:sz w:val="22"/>
          <w:highlight w:val="none"/>
        </w:rPr>
        <w:t>五、乙方义务</w:t>
      </w:r>
    </w:p>
    <w:p w14:paraId="293C739A">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1.根据法律、法规及行业规范，在职业标准和项目委托要求下开展服务工作；</w:t>
      </w:r>
    </w:p>
    <w:p w14:paraId="7140216E">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2.服务过程中应与甲方保持密切沟通；</w:t>
      </w:r>
    </w:p>
    <w:p w14:paraId="2C8DADE0">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3.配备具有相应资格和能力的专业团队；</w:t>
      </w:r>
    </w:p>
    <w:p w14:paraId="2CEFAFB7">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4.在约定时间内，按要求完成具体服务项目，并对所出具的专业文件承担法律责任；</w:t>
      </w:r>
    </w:p>
    <w:p w14:paraId="1088E507">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5.保密义务：</w:t>
      </w:r>
    </w:p>
    <w:p w14:paraId="0F2DC5A6">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1）保密信息包括但不限于乙方因服务项目以任何方式从甲方或其关联公司或其他甲方的代表机构和甲方正式聘请的中介机构处获得的任何形式的、任何内容的信息、文件、知识、数据、绘图、专有技术、分析、计算、编辑、研究以及其它材料和实物，所有这些信息在本合同中总称为“保密信息”（上述关联公司、代表机构、中介机构提供的信息视同由甲方提供）。</w:t>
      </w:r>
    </w:p>
    <w:p w14:paraId="4093F841">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2）乙方只能为本合同的目的使用保密信息，且只能在乙方项目组成员的范围内披露或使用保密信息，但必须要求获得保密信息的相关人员对保密信息保密；除此之外，未经甲方书面同意，乙方不得向任何第三方提供或透露部分或全部保密信息。</w:t>
      </w:r>
    </w:p>
    <w:p w14:paraId="20A832E9">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3）乙方采取必要的措施（包括建立严格的内部保密制度以保存甲方提供的本合同项下之保密信息的复制件、录音、文字记录、电子数据、磁盘、光盘、软件、录影带、照片、文件等载体，在传送有关文件资料时采取必要的保密措施等），确保适当及安全地储存并保护甲方向乙方提供之保密信息，并视为机密。</w:t>
      </w:r>
    </w:p>
    <w:p w14:paraId="55C53A8E">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（4）当乙方获知发生了甲方保密信息因乙方违反本合同有关条款而被披露的情况，乙方应立即充分调查了解有关情况并告知甲方，并承担相应的责任（包括但不限于赔偿责任），消除相关影响。</w:t>
      </w:r>
    </w:p>
    <w:p w14:paraId="24577D81">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（5）乙方应采取必要措施向乙方所有接触甲方保密信息之人员通告其对所有甲方信息都负有普遍的保密义务，如果该等人员违反保密义务，则由乙方承担在相关法律法规下</w:t>
      </w:r>
      <w:r>
        <w:rPr>
          <w:rFonts w:hint="eastAsia" w:ascii="宋体" w:hAnsi="宋体" w:eastAsia="宋体" w:cs="宋体"/>
          <w:color w:val="auto"/>
          <w:sz w:val="22"/>
          <w:highlight w:val="none"/>
          <w:lang w:val="en-GB"/>
        </w:rPr>
        <w:t>的</w:t>
      </w:r>
      <w:r>
        <w:rPr>
          <w:rFonts w:hint="eastAsia" w:ascii="宋体" w:hAnsi="宋体" w:eastAsia="宋体" w:cs="宋体"/>
          <w:color w:val="auto"/>
          <w:sz w:val="22"/>
          <w:highlight w:val="none"/>
        </w:rPr>
        <w:t>法律责任。</w:t>
      </w:r>
    </w:p>
    <w:p w14:paraId="5C7F8264">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（6）若乙方或其有关人员违反本合同规定的保密义务，乙方应赔偿由此给甲方造成的全部损失，并负责消除影响。</w:t>
      </w:r>
    </w:p>
    <w:p w14:paraId="65645AFC">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（7）乙方对所获的甲方的保密信息负有保密义务的期限为永久，直至保密信息已进入公共渠道或甲方以书面形式明确表示乙方无须再负保密义务为止。</w:t>
      </w:r>
    </w:p>
    <w:p w14:paraId="684C3399">
      <w:pPr>
        <w:spacing w:line="360" w:lineRule="auto"/>
        <w:ind w:firstLine="420"/>
        <w:jc w:val="left"/>
        <w:rPr>
          <w:rFonts w:ascii="宋体" w:hAnsi="宋体" w:eastAsia="宋体" w:cs="宋体"/>
          <w:color w:val="auto"/>
          <w:sz w:val="22"/>
          <w:highlight w:val="none"/>
        </w:rPr>
      </w:pPr>
      <w:r>
        <w:rPr>
          <w:rFonts w:hint="eastAsia" w:ascii="宋体" w:hAnsi="宋体" w:eastAsia="宋体" w:cs="宋体"/>
          <w:color w:val="auto"/>
          <w:sz w:val="22"/>
          <w:highlight w:val="none"/>
        </w:rPr>
        <w:t>6.法律、法规规定的其它义务；</w:t>
      </w:r>
    </w:p>
    <w:p w14:paraId="646547AA">
      <w:pPr>
        <w:shd w:val="clear" w:color="auto" w:fill="FFFFFF"/>
        <w:snapToGrid w:val="0"/>
        <w:spacing w:after="100" w:afterAutospacing="1" w:line="360" w:lineRule="auto"/>
        <w:rPr>
          <w:rFonts w:ascii="宋体" w:hAnsi="Calibri" w:eastAsia="宋体" w:cs="宋体"/>
          <w:bCs/>
          <w:color w:val="auto"/>
          <w:sz w:val="22"/>
          <w:highlight w:val="none"/>
        </w:rPr>
      </w:pPr>
      <w:r>
        <w:rPr>
          <w:rFonts w:hint="eastAsia" w:ascii="宋体" w:hAnsi="Calibri" w:eastAsia="宋体" w:cs="宋体"/>
          <w:b/>
          <w:color w:val="auto"/>
          <w:sz w:val="22"/>
          <w:highlight w:val="none"/>
        </w:rPr>
        <w:t>六、协议终止</w:t>
      </w:r>
    </w:p>
    <w:p w14:paraId="788874D4">
      <w:p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hint="eastAsia" w:ascii="宋体" w:hAnsi="Calibri" w:eastAsia="宋体" w:cs="宋体"/>
          <w:bCs/>
          <w:color w:val="auto"/>
          <w:sz w:val="22"/>
          <w:highlight w:val="none"/>
        </w:rPr>
        <w:t>发生以下情况，甲方将解除本协议，取消乙方入库资格：</w:t>
      </w:r>
    </w:p>
    <w:p w14:paraId="41B630C2">
      <w:p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hint="eastAsia" w:ascii="宋体" w:hAnsi="Calibri" w:eastAsia="宋体" w:cs="宋体"/>
          <w:bCs/>
          <w:color w:val="auto"/>
          <w:sz w:val="22"/>
          <w:highlight w:val="none"/>
        </w:rPr>
        <w:t>1.乙方未能按照磋商文件承诺及磋商文件要求提供相关服务的；</w:t>
      </w:r>
    </w:p>
    <w:p w14:paraId="315D3ABD">
      <w:p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hint="eastAsia" w:ascii="宋体" w:hAnsi="Calibri" w:eastAsia="宋体" w:cs="宋体"/>
          <w:bCs/>
          <w:color w:val="auto"/>
          <w:sz w:val="22"/>
          <w:highlight w:val="none"/>
        </w:rPr>
        <w:t>2.乙方组织机构及相关配备人员变动，未及时告知甲方的；</w:t>
      </w:r>
    </w:p>
    <w:p w14:paraId="50649482">
      <w:p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hint="eastAsia" w:ascii="宋体" w:hAnsi="Calibri" w:eastAsia="宋体" w:cs="宋体"/>
          <w:bCs/>
          <w:color w:val="auto"/>
          <w:sz w:val="22"/>
          <w:highlight w:val="none"/>
        </w:rPr>
        <w:t>3.乙方投标时弄虚作假经查实的；</w:t>
      </w:r>
    </w:p>
    <w:p w14:paraId="4CFE9448">
      <w:p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hint="eastAsia" w:ascii="宋体" w:hAnsi="Calibri" w:eastAsia="宋体" w:cs="宋体"/>
          <w:bCs/>
          <w:color w:val="auto"/>
          <w:sz w:val="22"/>
          <w:highlight w:val="none"/>
        </w:rPr>
        <w:t>4.未经甲方同意，将服务项目委托其他机构或个人代为办理的；</w:t>
      </w:r>
    </w:p>
    <w:p w14:paraId="49CF3324">
      <w:p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hint="eastAsia" w:ascii="宋体" w:hAnsi="Calibri" w:eastAsia="宋体" w:cs="宋体"/>
          <w:bCs/>
          <w:color w:val="auto"/>
          <w:sz w:val="22"/>
          <w:highlight w:val="none"/>
        </w:rPr>
        <w:t>5.有其他违法违纪行为的，不符合入库要求的；</w:t>
      </w:r>
    </w:p>
    <w:p w14:paraId="4572BA1C">
      <w:pPr>
        <w:numPr>
          <w:ilvl w:val="255"/>
          <w:numId w:val="0"/>
        </w:numPr>
        <w:shd w:val="clear" w:color="auto" w:fill="FFFFFF"/>
        <w:snapToGrid w:val="0"/>
        <w:spacing w:after="100" w:afterAutospacing="1" w:line="360" w:lineRule="auto"/>
        <w:rPr>
          <w:rFonts w:ascii="宋体" w:hAnsi="宋体" w:eastAsia="宋体" w:cs="Times New Roman"/>
          <w:b/>
          <w:color w:val="auto"/>
          <w:sz w:val="22"/>
          <w:highlight w:val="none"/>
        </w:rPr>
      </w:pPr>
      <w:r>
        <w:rPr>
          <w:rFonts w:hint="eastAsia" w:ascii="宋体" w:hAnsi="宋体" w:eastAsia="宋体" w:cs="宋体"/>
          <w:b/>
          <w:color w:val="auto"/>
          <w:sz w:val="22"/>
          <w:highlight w:val="none"/>
        </w:rPr>
        <w:t>七、</w:t>
      </w:r>
      <w:r>
        <w:rPr>
          <w:rFonts w:hint="eastAsia" w:ascii="宋体" w:hAnsi="宋体" w:eastAsia="宋体" w:cs="Times New Roman"/>
          <w:b/>
          <w:color w:val="auto"/>
          <w:sz w:val="22"/>
          <w:highlight w:val="none"/>
        </w:rPr>
        <w:t>协议组成文件</w:t>
      </w:r>
    </w:p>
    <w:p w14:paraId="008F8099">
      <w:pPr>
        <w:shd w:val="clear" w:color="auto" w:fill="FFFFFF"/>
        <w:snapToGrid w:val="0"/>
        <w:spacing w:before="100" w:beforeAutospacing="1" w:after="100" w:afterAutospacing="1" w:line="360" w:lineRule="auto"/>
        <w:ind w:firstLine="440" w:firstLineChars="200"/>
        <w:rPr>
          <w:rFonts w:ascii="Calibri" w:hAnsi="Calibri" w:eastAsia="宋体" w:cs="Times New Roman"/>
          <w:bCs/>
          <w:color w:val="auto"/>
          <w:sz w:val="22"/>
          <w:highlight w:val="none"/>
        </w:rPr>
      </w:pPr>
      <w:r>
        <w:rPr>
          <w:rFonts w:hint="eastAsia" w:ascii="Calibri" w:hAnsi="Calibri" w:eastAsia="宋体" w:cs="Times New Roman"/>
          <w:bCs/>
          <w:color w:val="auto"/>
          <w:sz w:val="22"/>
          <w:highlight w:val="none"/>
        </w:rPr>
        <w:t>1.磋商文件及答疑、更正文件；</w:t>
      </w:r>
    </w:p>
    <w:p w14:paraId="1C2E367D">
      <w:pPr>
        <w:shd w:val="clear" w:color="auto" w:fill="FFFFFF"/>
        <w:snapToGrid w:val="0"/>
        <w:spacing w:before="100" w:beforeAutospacing="1" w:after="100" w:afterAutospacing="1" w:line="360" w:lineRule="auto"/>
        <w:ind w:firstLine="440" w:firstLineChars="200"/>
        <w:rPr>
          <w:rFonts w:ascii="Calibri" w:hAnsi="Calibri" w:eastAsia="宋体" w:cs="Times New Roman"/>
          <w:bCs/>
          <w:color w:val="auto"/>
          <w:sz w:val="22"/>
          <w:highlight w:val="none"/>
        </w:rPr>
      </w:pPr>
      <w:r>
        <w:rPr>
          <w:rFonts w:hint="eastAsia" w:ascii="Calibri" w:hAnsi="Calibri" w:eastAsia="宋体" w:cs="Times New Roman"/>
          <w:bCs/>
          <w:color w:val="auto"/>
          <w:sz w:val="22"/>
          <w:highlight w:val="none"/>
        </w:rPr>
        <w:t>2.响应文件及附件；</w:t>
      </w:r>
    </w:p>
    <w:p w14:paraId="0B692676">
      <w:pPr>
        <w:shd w:val="clear" w:color="auto" w:fill="FFFFFF"/>
        <w:snapToGrid w:val="0"/>
        <w:spacing w:before="100" w:beforeAutospacing="1" w:after="100" w:afterAutospacing="1" w:line="360" w:lineRule="auto"/>
        <w:ind w:firstLine="440" w:firstLineChars="200"/>
        <w:rPr>
          <w:rFonts w:ascii="Calibri" w:hAnsi="Calibri" w:eastAsia="宋体" w:cs="Times New Roman"/>
          <w:bCs/>
          <w:color w:val="auto"/>
          <w:sz w:val="22"/>
          <w:highlight w:val="none"/>
        </w:rPr>
      </w:pPr>
      <w:r>
        <w:rPr>
          <w:rFonts w:hint="eastAsia" w:ascii="Calibri" w:hAnsi="Calibri" w:eastAsia="宋体" w:cs="Times New Roman"/>
          <w:bCs/>
          <w:color w:val="auto"/>
          <w:sz w:val="22"/>
          <w:highlight w:val="none"/>
        </w:rPr>
        <w:t xml:space="preserve">3.项目委托协议；   </w:t>
      </w:r>
    </w:p>
    <w:p w14:paraId="124354E4">
      <w:pPr>
        <w:shd w:val="clear" w:color="auto" w:fill="FFFFFF"/>
        <w:snapToGrid w:val="0"/>
        <w:spacing w:before="100" w:beforeAutospacing="1" w:after="100" w:afterAutospacing="1" w:line="360" w:lineRule="auto"/>
        <w:ind w:firstLine="440" w:firstLineChars="200"/>
        <w:rPr>
          <w:rFonts w:ascii="Calibri" w:hAnsi="Calibri" w:eastAsia="宋体" w:cs="Times New Roman"/>
          <w:bCs/>
          <w:color w:val="auto"/>
          <w:sz w:val="22"/>
          <w:highlight w:val="none"/>
        </w:rPr>
      </w:pPr>
      <w:r>
        <w:rPr>
          <w:rFonts w:hint="eastAsia" w:ascii="Calibri" w:hAnsi="Calibri" w:eastAsia="宋体" w:cs="Times New Roman"/>
          <w:bCs/>
          <w:color w:val="auto"/>
          <w:sz w:val="22"/>
          <w:highlight w:val="none"/>
        </w:rPr>
        <w:t xml:space="preserve">4.有关法律法规、规章制度以及阜阳市相关规定；   </w:t>
      </w:r>
    </w:p>
    <w:p w14:paraId="3FF52525">
      <w:pPr>
        <w:shd w:val="clear" w:color="auto" w:fill="FFFFFF"/>
        <w:snapToGrid w:val="0"/>
        <w:spacing w:before="100" w:beforeAutospacing="1" w:after="100" w:afterAutospacing="1" w:line="360" w:lineRule="auto"/>
        <w:ind w:firstLine="440" w:firstLineChars="200"/>
        <w:rPr>
          <w:rFonts w:ascii="Calibri" w:hAnsi="Calibri" w:eastAsia="宋体" w:cs="Times New Roman"/>
          <w:bCs/>
          <w:color w:val="auto"/>
          <w:sz w:val="22"/>
          <w:highlight w:val="none"/>
        </w:rPr>
      </w:pPr>
      <w:r>
        <w:rPr>
          <w:rFonts w:hint="eastAsia" w:ascii="Calibri" w:hAnsi="Calibri" w:eastAsia="宋体" w:cs="Times New Roman"/>
          <w:bCs/>
          <w:color w:val="auto"/>
          <w:sz w:val="22"/>
          <w:highlight w:val="none"/>
        </w:rPr>
        <w:t>5.双方确认的有关项目的洽商、变更等书面协议或文件视为本协议的组成部分。</w:t>
      </w:r>
    </w:p>
    <w:p w14:paraId="27644FAE">
      <w:pPr>
        <w:shd w:val="clear" w:color="auto" w:fill="FFFFFF"/>
        <w:snapToGrid w:val="0"/>
        <w:spacing w:after="100" w:afterAutospacing="1" w:line="360" w:lineRule="auto"/>
        <w:rPr>
          <w:rFonts w:ascii="宋体" w:hAnsi="宋体" w:eastAsia="宋体" w:cs="宋体"/>
          <w:b/>
          <w:color w:val="auto"/>
          <w:sz w:val="22"/>
          <w:highlight w:val="none"/>
        </w:rPr>
      </w:pPr>
      <w:r>
        <w:rPr>
          <w:rFonts w:hint="eastAsia" w:ascii="宋体" w:hAnsi="宋体" w:eastAsia="宋体" w:cs="宋体"/>
          <w:b/>
          <w:color w:val="auto"/>
          <w:sz w:val="22"/>
          <w:highlight w:val="none"/>
        </w:rPr>
        <w:t>八、争议解决办法</w:t>
      </w:r>
    </w:p>
    <w:p w14:paraId="4E103F15">
      <w:pPr>
        <w:shd w:val="clear" w:color="auto" w:fill="FFFFFF"/>
        <w:snapToGrid w:val="0"/>
        <w:spacing w:after="100" w:afterAutospacing="1" w:line="360" w:lineRule="auto"/>
        <w:ind w:firstLine="440" w:firstLineChars="200"/>
        <w:rPr>
          <w:rFonts w:ascii="宋体" w:hAnsi="宋体" w:eastAsia="宋体" w:cs="宋体"/>
          <w:bCs/>
          <w:color w:val="auto"/>
          <w:sz w:val="22"/>
          <w:highlight w:val="none"/>
        </w:rPr>
      </w:pPr>
      <w:r>
        <w:rPr>
          <w:rFonts w:hint="eastAsia" w:ascii="宋体" w:hAnsi="宋体" w:eastAsia="宋体" w:cs="宋体"/>
          <w:bCs/>
          <w:color w:val="auto"/>
          <w:sz w:val="22"/>
          <w:highlight w:val="none"/>
        </w:rPr>
        <w:t>本协议在履行过程中发生争议，双方应协商解决，协商不成的，可向甲方所在地人民法院提起诉讼。</w:t>
      </w:r>
    </w:p>
    <w:p w14:paraId="4FDB9BE8">
      <w:pPr>
        <w:shd w:val="clear" w:color="auto" w:fill="FFFFFF"/>
        <w:snapToGrid w:val="0"/>
        <w:spacing w:after="100" w:afterAutospacing="1" w:line="360" w:lineRule="auto"/>
        <w:rPr>
          <w:rFonts w:ascii="宋体" w:hAnsi="宋体" w:eastAsia="宋体" w:cs="宋体"/>
          <w:b/>
          <w:color w:val="auto"/>
          <w:sz w:val="22"/>
          <w:highlight w:val="none"/>
        </w:rPr>
      </w:pPr>
      <w:r>
        <w:rPr>
          <w:rFonts w:hint="eastAsia" w:ascii="宋体" w:hAnsi="宋体" w:eastAsia="宋体" w:cs="宋体"/>
          <w:b/>
          <w:color w:val="auto"/>
          <w:sz w:val="22"/>
          <w:highlight w:val="none"/>
        </w:rPr>
        <w:t>九、合同生效及份数</w:t>
      </w:r>
    </w:p>
    <w:p w14:paraId="6EC21204">
      <w:pPr>
        <w:shd w:val="clear" w:color="auto" w:fill="FFFFFF"/>
        <w:snapToGrid w:val="0"/>
        <w:spacing w:after="100" w:afterAutospacing="1" w:line="360" w:lineRule="auto"/>
        <w:ind w:firstLine="440" w:firstLineChars="200"/>
        <w:rPr>
          <w:rFonts w:ascii="宋体" w:hAnsi="Times New Roman" w:eastAsia="宋体" w:cs="宋体"/>
          <w:bCs/>
          <w:color w:val="auto"/>
          <w:sz w:val="22"/>
          <w:highlight w:val="none"/>
        </w:rPr>
      </w:pPr>
      <w:r>
        <w:rPr>
          <w:rFonts w:ascii="宋体" w:hAnsi="Times New Roman" w:eastAsia="宋体" w:cs="宋体"/>
          <w:bCs/>
          <w:color w:val="auto"/>
          <w:sz w:val="22"/>
          <w:highlight w:val="none"/>
        </w:rPr>
        <w:t>1.</w:t>
      </w:r>
      <w:r>
        <w:rPr>
          <w:rFonts w:hint="eastAsia" w:ascii="宋体" w:hAnsi="Times New Roman" w:eastAsia="宋体" w:cs="宋体"/>
          <w:bCs/>
          <w:color w:val="auto"/>
          <w:sz w:val="22"/>
          <w:highlight w:val="none"/>
        </w:rPr>
        <w:t>本协议书由双方法人代表或授权代表人签字或盖章后生效。</w:t>
      </w:r>
    </w:p>
    <w:p w14:paraId="1B6371A4">
      <w:pPr>
        <w:numPr>
          <w:ilvl w:val="255"/>
          <w:numId w:val="0"/>
        </w:numPr>
        <w:shd w:val="clear" w:color="auto" w:fill="FFFFFF"/>
        <w:snapToGrid w:val="0"/>
        <w:spacing w:after="100" w:afterAutospacing="1" w:line="360" w:lineRule="auto"/>
        <w:ind w:firstLine="440" w:firstLineChars="200"/>
        <w:rPr>
          <w:rFonts w:ascii="宋体" w:hAnsi="Calibri" w:eastAsia="宋体" w:cs="宋体"/>
          <w:bCs/>
          <w:color w:val="auto"/>
          <w:sz w:val="22"/>
          <w:highlight w:val="none"/>
        </w:rPr>
      </w:pPr>
      <w:r>
        <w:rPr>
          <w:rFonts w:ascii="宋体" w:hAnsi="Times New Roman" w:eastAsia="宋体" w:cs="宋体"/>
          <w:bCs/>
          <w:color w:val="auto"/>
          <w:sz w:val="22"/>
          <w:highlight w:val="none"/>
        </w:rPr>
        <w:t>2.</w:t>
      </w:r>
      <w:r>
        <w:rPr>
          <w:rFonts w:hint="eastAsia" w:ascii="宋体" w:hAnsi="Times New Roman" w:eastAsia="宋体" w:cs="宋体"/>
          <w:bCs/>
          <w:color w:val="auto"/>
          <w:sz w:val="22"/>
          <w:highlight w:val="none"/>
        </w:rPr>
        <w:t>本合同一式肆份，由甲乙方各执贰份。</w:t>
      </w:r>
    </w:p>
    <w:p w14:paraId="67843F93">
      <w:pPr>
        <w:shd w:val="clear" w:color="auto" w:fill="FFFFFF"/>
        <w:snapToGrid w:val="0"/>
        <w:spacing w:after="100" w:afterAutospacing="1" w:line="360" w:lineRule="auto"/>
        <w:rPr>
          <w:rFonts w:ascii="宋体" w:hAnsi="宋体" w:eastAsia="宋体" w:cs="宋体"/>
          <w:bCs/>
          <w:color w:val="auto"/>
          <w:sz w:val="22"/>
          <w:highlight w:val="none"/>
        </w:rPr>
        <w:sectPr>
          <w:pgSz w:w="11910" w:h="16840"/>
          <w:pgMar w:top="1400" w:right="1440" w:bottom="1220" w:left="1580" w:header="877" w:footer="1033" w:gutter="0"/>
          <w:cols w:space="720" w:num="1"/>
        </w:sectPr>
      </w:pPr>
    </w:p>
    <w:p w14:paraId="3D03E994">
      <w:pPr>
        <w:shd w:val="clear" w:color="auto" w:fill="FFFFFF"/>
        <w:snapToGrid w:val="0"/>
        <w:spacing w:after="100" w:afterAutospacing="1" w:line="360" w:lineRule="auto"/>
        <w:rPr>
          <w:rFonts w:ascii="宋体" w:hAnsi="宋体" w:eastAsia="宋体" w:cs="宋体"/>
          <w:bCs/>
          <w:color w:val="auto"/>
          <w:sz w:val="22"/>
          <w:highlight w:val="none"/>
        </w:rPr>
      </w:pPr>
      <w:r>
        <w:rPr>
          <w:rFonts w:hint="eastAsia" w:ascii="宋体" w:hAnsi="宋体" w:eastAsia="宋体" w:cs="宋体"/>
          <w:bCs/>
          <w:color w:val="auto"/>
          <w:sz w:val="22"/>
          <w:highlight w:val="none"/>
        </w:rPr>
        <w:t>（以下无正文，为双方签署页）</w:t>
      </w:r>
    </w:p>
    <w:p w14:paraId="18BB9617">
      <w:pPr>
        <w:shd w:val="clear" w:color="auto" w:fill="FFFFFF"/>
        <w:snapToGrid w:val="0"/>
        <w:spacing w:after="100" w:afterAutospacing="1" w:line="360" w:lineRule="auto"/>
        <w:rPr>
          <w:rFonts w:ascii="宋体" w:hAnsi="宋体" w:eastAsia="宋体" w:cs="宋体"/>
          <w:bCs/>
          <w:color w:val="auto"/>
          <w:sz w:val="22"/>
          <w:highlight w:val="none"/>
        </w:rPr>
      </w:pPr>
      <w:r>
        <w:rPr>
          <w:rFonts w:hint="eastAsia" w:ascii="宋体" w:hAnsi="宋体" w:eastAsia="宋体" w:cs="宋体"/>
          <w:bCs/>
          <w:color w:val="auto"/>
          <w:sz w:val="22"/>
          <w:highlight w:val="none"/>
        </w:rPr>
        <w:t>甲方：</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（盖章）   乙方 ：</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（盖章）</w:t>
      </w:r>
    </w:p>
    <w:p w14:paraId="7329D06E">
      <w:pPr>
        <w:shd w:val="clear" w:color="auto" w:fill="FFFFFF"/>
        <w:snapToGrid w:val="0"/>
        <w:spacing w:after="100" w:afterAutospacing="1" w:line="360" w:lineRule="auto"/>
        <w:rPr>
          <w:rFonts w:ascii="宋体" w:hAnsi="宋体" w:eastAsia="宋体" w:cs="宋体"/>
          <w:bCs/>
          <w:color w:val="auto"/>
          <w:sz w:val="22"/>
          <w:highlight w:val="none"/>
        </w:rPr>
      </w:pPr>
      <w:r>
        <w:rPr>
          <w:rFonts w:hint="eastAsia" w:ascii="宋体" w:hAnsi="宋体" w:eastAsia="宋体" w:cs="宋体"/>
          <w:bCs/>
          <w:color w:val="auto"/>
          <w:sz w:val="22"/>
          <w:highlight w:val="none"/>
        </w:rPr>
        <w:t>地  址：</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 xml:space="preserve">     地  址：</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 xml:space="preserve"> </w:t>
      </w:r>
    </w:p>
    <w:p w14:paraId="51E9B01D">
      <w:pPr>
        <w:shd w:val="clear" w:color="auto" w:fill="FFFFFF"/>
        <w:snapToGrid w:val="0"/>
        <w:spacing w:after="100" w:afterAutospacing="1" w:line="360" w:lineRule="auto"/>
        <w:ind w:left="4400" w:hanging="4400" w:hangingChars="2000"/>
        <w:rPr>
          <w:rFonts w:ascii="宋体" w:hAnsi="宋体" w:eastAsia="宋体" w:cs="宋体"/>
          <w:bCs/>
          <w:color w:val="auto"/>
          <w:sz w:val="22"/>
          <w:highlight w:val="none"/>
        </w:rPr>
      </w:pPr>
      <w:r>
        <w:rPr>
          <w:rFonts w:hint="eastAsia" w:ascii="宋体" w:hAnsi="宋体" w:eastAsia="宋体" w:cs="宋体"/>
          <w:bCs/>
          <w:color w:val="auto"/>
          <w:sz w:val="22"/>
          <w:highlight w:val="none"/>
        </w:rPr>
        <w:t>法定代表人或委托代理人：</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 xml:space="preserve">     法定代表人/执行合伙事务的合伙人或委托代理人：</w:t>
      </w:r>
      <w:r>
        <w:rPr>
          <w:rFonts w:hint="eastAsia" w:ascii="宋体" w:hAnsi="宋体" w:eastAsia="宋体" w:cs="宋体"/>
          <w:bCs/>
          <w:color w:val="auto"/>
          <w:sz w:val="22"/>
          <w:highlight w:val="none"/>
          <w:u w:val="single"/>
        </w:rPr>
        <w:t xml:space="preserve">               </w:t>
      </w:r>
      <w:r>
        <w:rPr>
          <w:rFonts w:hint="eastAsia" w:ascii="宋体" w:hAnsi="宋体" w:eastAsia="宋体" w:cs="宋体"/>
          <w:bCs/>
          <w:color w:val="auto"/>
          <w:sz w:val="22"/>
          <w:highlight w:val="none"/>
        </w:rPr>
        <w:t xml:space="preserve"> </w:t>
      </w:r>
    </w:p>
    <w:p w14:paraId="2605D06B">
      <w:pPr>
        <w:pStyle w:val="14"/>
        <w:keepNext w:val="0"/>
        <w:keepLines w:val="0"/>
        <w:pageBreakBefore w:val="0"/>
        <w:widowControl w:val="0"/>
        <w:shd w:val="clear"/>
        <w:kinsoku/>
        <w:wordWrap/>
        <w:overflowPunct/>
        <w:topLinePunct w:val="0"/>
        <w:autoSpaceDE/>
        <w:autoSpaceDN/>
        <w:bidi w:val="0"/>
        <w:spacing w:line="360" w:lineRule="auto"/>
        <w:ind w:firstLine="480"/>
        <w:textAlignment w:val="auto"/>
        <w:rPr>
          <w:rFonts w:hint="eastAsia"/>
          <w:color w:val="auto"/>
          <w:highlight w:val="none"/>
        </w:rPr>
      </w:pPr>
      <w:r>
        <w:rPr>
          <w:rFonts w:hint="eastAsia" w:ascii="宋体" w:hAnsi="宋体" w:eastAsia="宋体" w:cs="宋体"/>
          <w:bCs/>
          <w:color w:val="auto"/>
          <w:sz w:val="22"/>
          <w:highlight w:val="none"/>
        </w:rPr>
        <w:t xml:space="preserve">年   月    日                          年   月    日                            </w:t>
      </w:r>
      <w:r>
        <w:rPr>
          <w:rFonts w:hint="eastAsia" w:ascii="宋体" w:hAnsi="宋体"/>
          <w:bCs/>
          <w:color w:val="auto"/>
          <w:sz w:val="24"/>
          <w:szCs w:val="24"/>
          <w:highlight w:val="none"/>
        </w:rPr>
        <w:t xml:space="preserve">  </w:t>
      </w:r>
    </w:p>
    <w:p w14:paraId="2254F89B">
      <w:pPr>
        <w:pStyle w:val="14"/>
        <w:shd w:val="clear"/>
        <w:rPr>
          <w:color w:val="auto"/>
          <w:highlight w:val="none"/>
        </w:rPr>
      </w:pPr>
    </w:p>
    <w:p w14:paraId="1FB6879A">
      <w:pPr>
        <w:pStyle w:val="13"/>
        <w:shd w:val="clear"/>
        <w:ind w:left="420" w:hanging="420"/>
        <w:rPr>
          <w:color w:val="auto"/>
          <w:highlight w:val="none"/>
        </w:rPr>
      </w:pPr>
    </w:p>
    <w:p w14:paraId="43CC6D3B">
      <w:pPr>
        <w:pStyle w:val="13"/>
        <w:shd w:val="clear"/>
        <w:ind w:left="420" w:hanging="420"/>
        <w:rPr>
          <w:color w:val="auto"/>
          <w:highlight w:val="none"/>
        </w:rPr>
      </w:pPr>
    </w:p>
    <w:p w14:paraId="73D247AF">
      <w:pPr>
        <w:pStyle w:val="13"/>
        <w:shd w:val="clear"/>
        <w:ind w:left="420" w:hanging="420"/>
        <w:rPr>
          <w:color w:val="auto"/>
          <w:highlight w:val="none"/>
        </w:rPr>
      </w:pPr>
    </w:p>
    <w:p w14:paraId="49C14047">
      <w:pPr>
        <w:pStyle w:val="13"/>
        <w:shd w:val="clear"/>
        <w:ind w:left="420" w:hanging="420"/>
        <w:rPr>
          <w:color w:val="auto"/>
          <w:highlight w:val="none"/>
        </w:rPr>
      </w:pPr>
    </w:p>
    <w:p w14:paraId="046C04AC">
      <w:pPr>
        <w:pStyle w:val="13"/>
        <w:shd w:val="clear"/>
        <w:ind w:left="420" w:hanging="420"/>
        <w:rPr>
          <w:color w:val="auto"/>
          <w:highlight w:val="none"/>
        </w:rPr>
      </w:pPr>
    </w:p>
    <w:p w14:paraId="23D9BE2A">
      <w:pPr>
        <w:pStyle w:val="13"/>
        <w:shd w:val="clear"/>
        <w:ind w:left="420" w:hanging="420"/>
        <w:rPr>
          <w:color w:val="auto"/>
          <w:highlight w:val="none"/>
        </w:rPr>
      </w:pPr>
    </w:p>
    <w:p w14:paraId="6B4DD523">
      <w:pPr>
        <w:pStyle w:val="13"/>
        <w:shd w:val="clear"/>
        <w:ind w:left="420" w:hanging="420"/>
        <w:rPr>
          <w:color w:val="auto"/>
          <w:highlight w:val="none"/>
        </w:rPr>
      </w:pPr>
    </w:p>
    <w:p w14:paraId="4C4C13D1">
      <w:pPr>
        <w:pStyle w:val="13"/>
        <w:shd w:val="clear"/>
        <w:ind w:left="420" w:hanging="420"/>
        <w:rPr>
          <w:color w:val="auto"/>
          <w:highlight w:val="none"/>
        </w:rPr>
      </w:pPr>
    </w:p>
    <w:p w14:paraId="4A5BADE8">
      <w:pPr>
        <w:pStyle w:val="13"/>
        <w:shd w:val="clear"/>
        <w:ind w:left="420" w:hanging="420"/>
        <w:rPr>
          <w:color w:val="auto"/>
          <w:highlight w:val="none"/>
        </w:rPr>
      </w:pPr>
    </w:p>
    <w:p w14:paraId="05F3ADD0">
      <w:pPr>
        <w:pStyle w:val="13"/>
        <w:shd w:val="clear"/>
        <w:ind w:left="420" w:hanging="420"/>
        <w:rPr>
          <w:color w:val="auto"/>
          <w:highlight w:val="none"/>
        </w:rPr>
      </w:pPr>
    </w:p>
    <w:p w14:paraId="63E3D90A">
      <w:pPr>
        <w:pStyle w:val="13"/>
        <w:shd w:val="clear"/>
        <w:ind w:left="420" w:hanging="420"/>
        <w:rPr>
          <w:color w:val="auto"/>
          <w:highlight w:val="none"/>
        </w:rPr>
      </w:pPr>
    </w:p>
    <w:p w14:paraId="647DBAD6">
      <w:pPr>
        <w:pStyle w:val="13"/>
        <w:shd w:val="clear"/>
        <w:ind w:left="420" w:hanging="420"/>
        <w:rPr>
          <w:rFonts w:hint="eastAsia"/>
          <w:color w:val="auto"/>
          <w:highlight w:val="none"/>
        </w:rPr>
      </w:pPr>
    </w:p>
    <w:p w14:paraId="6F51E918">
      <w:pPr>
        <w:pStyle w:val="13"/>
        <w:shd w:val="clear"/>
        <w:ind w:left="420" w:hanging="420"/>
        <w:rPr>
          <w:color w:val="auto"/>
          <w:highlight w:val="none"/>
        </w:rPr>
      </w:pPr>
    </w:p>
    <w:p w14:paraId="624B7136">
      <w:pPr>
        <w:pStyle w:val="13"/>
        <w:shd w:val="clear"/>
        <w:ind w:left="420" w:hanging="420"/>
        <w:rPr>
          <w:color w:val="auto"/>
          <w:highlight w:val="none"/>
        </w:rPr>
      </w:pPr>
    </w:p>
    <w:p w14:paraId="0D258F35">
      <w:pPr>
        <w:pStyle w:val="13"/>
        <w:shd w:val="clear"/>
        <w:ind w:left="420" w:hanging="420"/>
        <w:rPr>
          <w:color w:val="auto"/>
          <w:highlight w:val="none"/>
        </w:rPr>
      </w:pPr>
    </w:p>
    <w:p w14:paraId="14902F0F">
      <w:pPr>
        <w:shd w:val="clear"/>
        <w:adjustRightInd w:val="0"/>
        <w:snapToGrid w:val="0"/>
        <w:spacing w:line="360" w:lineRule="auto"/>
        <w:jc w:val="center"/>
        <w:outlineLvl w:val="0"/>
        <w:rPr>
          <w:rFonts w:ascii="宋体" w:hAnsi="宋体" w:cs="宋体"/>
          <w:b/>
          <w:bCs/>
          <w:color w:val="auto"/>
          <w:kern w:val="44"/>
          <w:sz w:val="36"/>
          <w:szCs w:val="24"/>
          <w:highlight w:val="none"/>
        </w:rPr>
      </w:pPr>
    </w:p>
    <w:p w14:paraId="68323B61">
      <w:pPr>
        <w:shd w:val="clear"/>
        <w:adjustRightInd w:val="0"/>
        <w:snapToGrid w:val="0"/>
        <w:spacing w:line="360" w:lineRule="auto"/>
        <w:jc w:val="center"/>
        <w:outlineLvl w:val="0"/>
        <w:rPr>
          <w:rFonts w:ascii="宋体" w:hAnsi="宋体" w:cs="宋体"/>
          <w:b/>
          <w:bCs/>
          <w:color w:val="auto"/>
          <w:kern w:val="44"/>
          <w:sz w:val="36"/>
          <w:szCs w:val="24"/>
          <w:highlight w:val="none"/>
        </w:rPr>
      </w:pPr>
    </w:p>
    <w:p w14:paraId="62427F5A">
      <w:pPr>
        <w:shd w:val="clear"/>
        <w:adjustRightInd w:val="0"/>
        <w:snapToGrid w:val="0"/>
        <w:spacing w:line="360" w:lineRule="auto"/>
        <w:jc w:val="center"/>
        <w:outlineLvl w:val="0"/>
        <w:rPr>
          <w:rFonts w:ascii="宋体" w:hAnsi="宋体" w:cs="宋体"/>
          <w:b/>
          <w:bCs/>
          <w:color w:val="auto"/>
          <w:kern w:val="44"/>
          <w:sz w:val="36"/>
          <w:szCs w:val="24"/>
          <w:highlight w:val="none"/>
        </w:rPr>
      </w:pPr>
    </w:p>
    <w:p w14:paraId="2A90B574">
      <w:pPr>
        <w:shd w:val="clear"/>
        <w:adjustRightInd w:val="0"/>
        <w:snapToGrid w:val="0"/>
        <w:spacing w:line="360" w:lineRule="auto"/>
        <w:jc w:val="center"/>
        <w:outlineLvl w:val="0"/>
        <w:rPr>
          <w:rFonts w:ascii="宋体" w:hAnsi="宋体" w:cs="宋体"/>
          <w:b/>
          <w:bCs/>
          <w:color w:val="auto"/>
          <w:kern w:val="44"/>
          <w:sz w:val="36"/>
          <w:szCs w:val="24"/>
          <w:highlight w:val="none"/>
        </w:rPr>
      </w:pPr>
    </w:p>
    <w:p w14:paraId="6A9AF27E">
      <w:pPr>
        <w:shd w:val="clear"/>
        <w:adjustRightInd w:val="0"/>
        <w:snapToGrid w:val="0"/>
        <w:spacing w:line="360" w:lineRule="auto"/>
        <w:jc w:val="center"/>
        <w:outlineLvl w:val="0"/>
        <w:rPr>
          <w:rFonts w:hint="eastAsia" w:ascii="宋体" w:hAnsi="宋体" w:cs="宋体"/>
          <w:b/>
          <w:bCs/>
          <w:color w:val="auto"/>
          <w:kern w:val="44"/>
          <w:sz w:val="36"/>
          <w:szCs w:val="24"/>
          <w:highlight w:val="none"/>
        </w:rPr>
      </w:pPr>
    </w:p>
    <w:p w14:paraId="7D2BFF20">
      <w:pPr>
        <w:shd w:val="clear"/>
        <w:adjustRightInd w:val="0"/>
        <w:snapToGrid w:val="0"/>
        <w:spacing w:line="360" w:lineRule="auto"/>
        <w:jc w:val="center"/>
        <w:outlineLvl w:val="0"/>
        <w:rPr>
          <w:rFonts w:hint="eastAsia" w:ascii="宋体" w:hAnsi="宋体" w:cs="宋体"/>
          <w:b/>
          <w:bCs/>
          <w:color w:val="auto"/>
          <w:kern w:val="44"/>
          <w:sz w:val="36"/>
          <w:szCs w:val="24"/>
          <w:highlight w:val="none"/>
        </w:rPr>
      </w:pPr>
    </w:p>
    <w:p w14:paraId="48685BF8">
      <w:pPr>
        <w:shd w:val="clear"/>
        <w:adjustRightInd w:val="0"/>
        <w:snapToGrid w:val="0"/>
        <w:spacing w:line="360" w:lineRule="auto"/>
        <w:jc w:val="center"/>
        <w:outlineLvl w:val="0"/>
        <w:rPr>
          <w:rFonts w:hint="eastAsia" w:ascii="宋体" w:hAnsi="宋体" w:cs="宋体"/>
          <w:b/>
          <w:bCs/>
          <w:color w:val="auto"/>
          <w:kern w:val="44"/>
          <w:sz w:val="36"/>
          <w:szCs w:val="24"/>
          <w:highlight w:val="none"/>
        </w:rPr>
      </w:pPr>
    </w:p>
    <w:p w14:paraId="568D7173">
      <w:pPr>
        <w:shd w:val="clear"/>
        <w:adjustRightInd w:val="0"/>
        <w:snapToGrid w:val="0"/>
        <w:spacing w:line="360" w:lineRule="auto"/>
        <w:jc w:val="center"/>
        <w:outlineLvl w:val="0"/>
        <w:rPr>
          <w:rFonts w:hint="eastAsia" w:ascii="宋体" w:hAnsi="宋体" w:cs="宋体"/>
          <w:b/>
          <w:bCs/>
          <w:color w:val="auto"/>
          <w:kern w:val="44"/>
          <w:sz w:val="36"/>
          <w:szCs w:val="24"/>
          <w:highlight w:val="none"/>
        </w:rPr>
      </w:pPr>
    </w:p>
    <w:p w14:paraId="65D44160">
      <w:pPr>
        <w:shd w:val="clear"/>
        <w:adjustRightInd w:val="0"/>
        <w:snapToGrid w:val="0"/>
        <w:spacing w:line="360" w:lineRule="auto"/>
        <w:jc w:val="center"/>
        <w:outlineLvl w:val="0"/>
        <w:rPr>
          <w:rFonts w:ascii="宋体" w:hAnsi="宋体" w:cs="宋体"/>
          <w:b/>
          <w:bCs/>
          <w:color w:val="auto"/>
          <w:kern w:val="44"/>
          <w:sz w:val="36"/>
          <w:szCs w:val="24"/>
          <w:highlight w:val="none"/>
        </w:rPr>
      </w:pPr>
      <w:r>
        <w:rPr>
          <w:rFonts w:hint="eastAsia" w:ascii="宋体" w:hAnsi="宋体" w:cs="宋体"/>
          <w:b/>
          <w:bCs/>
          <w:color w:val="auto"/>
          <w:kern w:val="44"/>
          <w:sz w:val="36"/>
          <w:szCs w:val="24"/>
          <w:highlight w:val="none"/>
        </w:rPr>
        <w:t>第五章 投标文件格式</w:t>
      </w:r>
      <w:bookmarkEnd w:id="302"/>
      <w:bookmarkEnd w:id="304"/>
      <w:bookmarkEnd w:id="305"/>
    </w:p>
    <w:p w14:paraId="6F0DE33F">
      <w:pPr>
        <w:shd w:val="clear"/>
        <w:autoSpaceDE w:val="0"/>
        <w:autoSpaceDN w:val="0"/>
        <w:adjustRightInd w:val="0"/>
        <w:spacing w:before="124"/>
        <w:jc w:val="center"/>
        <w:rPr>
          <w:rFonts w:ascii="宋体" w:hAnsi="宋体" w:cs="宋体"/>
          <w:color w:val="auto"/>
          <w:kern w:val="0"/>
          <w:sz w:val="44"/>
          <w:szCs w:val="44"/>
          <w:highlight w:val="none"/>
        </w:rPr>
      </w:pPr>
      <w:bookmarkStart w:id="306" w:name="_Toc162490435"/>
      <w:bookmarkStart w:id="307" w:name="_Toc272486045"/>
      <w:bookmarkStart w:id="308" w:name="_Toc153421225"/>
      <w:bookmarkStart w:id="309" w:name="_Toc465179936"/>
      <w:bookmarkStart w:id="310" w:name="_Toc434829636"/>
      <w:bookmarkStart w:id="311" w:name="_Toc493081622"/>
      <w:r>
        <w:rPr>
          <w:rFonts w:hint="eastAsia" w:ascii="宋体" w:hAnsi="宋体" w:cs="宋体"/>
          <w:color w:val="auto"/>
          <w:kern w:val="0"/>
          <w:sz w:val="44"/>
          <w:szCs w:val="44"/>
          <w:highlight w:val="none"/>
        </w:rPr>
        <w:t>（项目名称）</w:t>
      </w:r>
    </w:p>
    <w:p w14:paraId="417AB685">
      <w:pPr>
        <w:shd w:val="clear"/>
        <w:autoSpaceDE w:val="0"/>
        <w:autoSpaceDN w:val="0"/>
        <w:adjustRightInd w:val="0"/>
        <w:spacing w:line="200" w:lineRule="exact"/>
        <w:jc w:val="center"/>
        <w:rPr>
          <w:rFonts w:ascii="宋体" w:hAnsi="宋体" w:cs="宋体"/>
          <w:color w:val="auto"/>
          <w:kern w:val="0"/>
          <w:sz w:val="44"/>
          <w:szCs w:val="44"/>
          <w:highlight w:val="none"/>
        </w:rPr>
      </w:pPr>
    </w:p>
    <w:p w14:paraId="73DC376F">
      <w:pPr>
        <w:shd w:val="clear"/>
        <w:autoSpaceDE w:val="0"/>
        <w:autoSpaceDN w:val="0"/>
        <w:adjustRightInd w:val="0"/>
        <w:spacing w:line="200" w:lineRule="exact"/>
        <w:jc w:val="center"/>
        <w:rPr>
          <w:rFonts w:ascii="宋体" w:hAnsi="宋体" w:cs="宋体"/>
          <w:color w:val="auto"/>
          <w:kern w:val="0"/>
          <w:sz w:val="44"/>
          <w:szCs w:val="44"/>
          <w:highlight w:val="none"/>
        </w:rPr>
      </w:pPr>
    </w:p>
    <w:p w14:paraId="6A96D234">
      <w:pPr>
        <w:shd w:val="clear"/>
        <w:autoSpaceDE w:val="0"/>
        <w:autoSpaceDN w:val="0"/>
        <w:adjustRightInd w:val="0"/>
        <w:spacing w:before="49"/>
        <w:jc w:val="center"/>
        <w:rPr>
          <w:rFonts w:ascii="宋体" w:hAnsi="宋体" w:cs="宋体"/>
          <w:color w:val="auto"/>
          <w:kern w:val="0"/>
          <w:sz w:val="44"/>
          <w:szCs w:val="44"/>
          <w:highlight w:val="none"/>
        </w:rPr>
      </w:pPr>
    </w:p>
    <w:p w14:paraId="2C4BA8D8">
      <w:pPr>
        <w:shd w:val="clear"/>
        <w:autoSpaceDE w:val="0"/>
        <w:autoSpaceDN w:val="0"/>
        <w:adjustRightInd w:val="0"/>
        <w:spacing w:before="49"/>
        <w:jc w:val="center"/>
        <w:rPr>
          <w:rFonts w:ascii="宋体" w:hAnsi="宋体" w:cs="宋体"/>
          <w:color w:val="auto"/>
          <w:kern w:val="0"/>
          <w:sz w:val="44"/>
          <w:szCs w:val="44"/>
          <w:highlight w:val="none"/>
        </w:rPr>
      </w:pPr>
    </w:p>
    <w:p w14:paraId="49917AAD">
      <w:pPr>
        <w:shd w:val="clear"/>
        <w:autoSpaceDE w:val="0"/>
        <w:autoSpaceDN w:val="0"/>
        <w:adjustRightInd w:val="0"/>
        <w:spacing w:before="49"/>
        <w:jc w:val="center"/>
        <w:rPr>
          <w:rFonts w:ascii="宋体" w:hAnsi="宋体" w:cs="宋体"/>
          <w:color w:val="auto"/>
          <w:kern w:val="0"/>
          <w:sz w:val="44"/>
          <w:szCs w:val="44"/>
          <w:highlight w:val="none"/>
        </w:rPr>
      </w:pPr>
      <w:r>
        <w:rPr>
          <w:rFonts w:hint="eastAsia" w:ascii="宋体" w:hAnsi="宋体" w:cs="宋体"/>
          <w:color w:val="auto"/>
          <w:kern w:val="0"/>
          <w:sz w:val="44"/>
          <w:szCs w:val="44"/>
          <w:highlight w:val="none"/>
        </w:rPr>
        <w:t>投 标 文 件</w:t>
      </w:r>
    </w:p>
    <w:p w14:paraId="0141BFF1">
      <w:pPr>
        <w:shd w:val="clear"/>
        <w:autoSpaceDE w:val="0"/>
        <w:autoSpaceDN w:val="0"/>
        <w:adjustRightInd w:val="0"/>
        <w:spacing w:line="200" w:lineRule="exact"/>
        <w:jc w:val="center"/>
        <w:rPr>
          <w:rFonts w:ascii="宋体" w:hAnsi="宋体" w:cs="宋体"/>
          <w:b/>
          <w:bCs/>
          <w:color w:val="auto"/>
          <w:kern w:val="0"/>
          <w:sz w:val="32"/>
          <w:szCs w:val="32"/>
          <w:highlight w:val="none"/>
        </w:rPr>
      </w:pPr>
    </w:p>
    <w:p w14:paraId="52A2339D">
      <w:pPr>
        <w:shd w:val="clear"/>
        <w:autoSpaceDE w:val="0"/>
        <w:autoSpaceDN w:val="0"/>
        <w:adjustRightInd w:val="0"/>
        <w:spacing w:line="200" w:lineRule="exact"/>
        <w:jc w:val="left"/>
        <w:rPr>
          <w:rFonts w:ascii="宋体" w:hAnsi="宋体" w:cs="宋体"/>
          <w:color w:val="auto"/>
          <w:kern w:val="0"/>
          <w:sz w:val="24"/>
          <w:szCs w:val="24"/>
          <w:highlight w:val="none"/>
        </w:rPr>
      </w:pPr>
    </w:p>
    <w:p w14:paraId="50461EC0">
      <w:pPr>
        <w:shd w:val="clear"/>
        <w:autoSpaceDE w:val="0"/>
        <w:autoSpaceDN w:val="0"/>
        <w:adjustRightInd w:val="0"/>
        <w:spacing w:line="200" w:lineRule="exact"/>
        <w:jc w:val="left"/>
        <w:rPr>
          <w:rFonts w:ascii="宋体" w:hAnsi="宋体" w:cs="宋体"/>
          <w:color w:val="auto"/>
          <w:kern w:val="0"/>
          <w:sz w:val="24"/>
          <w:szCs w:val="24"/>
          <w:highlight w:val="none"/>
        </w:rPr>
      </w:pPr>
    </w:p>
    <w:p w14:paraId="15679874">
      <w:pPr>
        <w:shd w:val="clear"/>
        <w:autoSpaceDE w:val="0"/>
        <w:autoSpaceDN w:val="0"/>
        <w:adjustRightInd w:val="0"/>
        <w:spacing w:line="200" w:lineRule="exact"/>
        <w:jc w:val="left"/>
        <w:rPr>
          <w:rFonts w:ascii="宋体" w:hAnsi="宋体" w:cs="宋体"/>
          <w:color w:val="auto"/>
          <w:kern w:val="0"/>
          <w:sz w:val="24"/>
          <w:szCs w:val="24"/>
          <w:highlight w:val="none"/>
        </w:rPr>
      </w:pPr>
    </w:p>
    <w:p w14:paraId="4467CFF2">
      <w:pPr>
        <w:shd w:val="clear"/>
        <w:autoSpaceDE w:val="0"/>
        <w:autoSpaceDN w:val="0"/>
        <w:adjustRightInd w:val="0"/>
        <w:spacing w:line="200" w:lineRule="exact"/>
        <w:jc w:val="left"/>
        <w:rPr>
          <w:rFonts w:ascii="宋体" w:hAnsi="宋体" w:cs="宋体"/>
          <w:color w:val="auto"/>
          <w:kern w:val="0"/>
          <w:sz w:val="24"/>
          <w:szCs w:val="24"/>
          <w:highlight w:val="none"/>
        </w:rPr>
      </w:pPr>
    </w:p>
    <w:p w14:paraId="7AEACF4F">
      <w:pPr>
        <w:shd w:val="clear"/>
        <w:autoSpaceDE w:val="0"/>
        <w:autoSpaceDN w:val="0"/>
        <w:adjustRightInd w:val="0"/>
        <w:spacing w:line="200" w:lineRule="exact"/>
        <w:jc w:val="left"/>
        <w:rPr>
          <w:rFonts w:ascii="宋体" w:hAnsi="宋体" w:cs="宋体"/>
          <w:color w:val="auto"/>
          <w:kern w:val="0"/>
          <w:sz w:val="24"/>
          <w:szCs w:val="24"/>
          <w:highlight w:val="none"/>
        </w:rPr>
      </w:pPr>
    </w:p>
    <w:p w14:paraId="76CBF585">
      <w:pPr>
        <w:shd w:val="clear"/>
        <w:autoSpaceDE w:val="0"/>
        <w:autoSpaceDN w:val="0"/>
        <w:adjustRightInd w:val="0"/>
        <w:spacing w:line="200" w:lineRule="exact"/>
        <w:jc w:val="left"/>
        <w:rPr>
          <w:rFonts w:ascii="宋体" w:hAnsi="宋体" w:cs="宋体"/>
          <w:color w:val="auto"/>
          <w:kern w:val="0"/>
          <w:sz w:val="24"/>
          <w:szCs w:val="24"/>
          <w:highlight w:val="none"/>
        </w:rPr>
      </w:pPr>
    </w:p>
    <w:p w14:paraId="727B7132">
      <w:pPr>
        <w:shd w:val="clear"/>
        <w:autoSpaceDE w:val="0"/>
        <w:autoSpaceDN w:val="0"/>
        <w:adjustRightInd w:val="0"/>
        <w:spacing w:line="200" w:lineRule="exact"/>
        <w:jc w:val="left"/>
        <w:rPr>
          <w:rFonts w:ascii="宋体" w:hAnsi="宋体" w:cs="宋体"/>
          <w:color w:val="auto"/>
          <w:kern w:val="0"/>
          <w:sz w:val="24"/>
          <w:szCs w:val="24"/>
          <w:highlight w:val="none"/>
        </w:rPr>
      </w:pPr>
    </w:p>
    <w:p w14:paraId="56A74765">
      <w:pPr>
        <w:shd w:val="clear"/>
        <w:autoSpaceDE w:val="0"/>
        <w:autoSpaceDN w:val="0"/>
        <w:adjustRightInd w:val="0"/>
        <w:spacing w:line="200" w:lineRule="exact"/>
        <w:jc w:val="left"/>
        <w:rPr>
          <w:rFonts w:ascii="宋体" w:hAnsi="宋体" w:cs="宋体"/>
          <w:color w:val="auto"/>
          <w:kern w:val="0"/>
          <w:sz w:val="24"/>
          <w:szCs w:val="24"/>
          <w:highlight w:val="none"/>
        </w:rPr>
      </w:pPr>
    </w:p>
    <w:p w14:paraId="0A5B1323">
      <w:pPr>
        <w:shd w:val="clear"/>
        <w:autoSpaceDE w:val="0"/>
        <w:autoSpaceDN w:val="0"/>
        <w:adjustRightInd w:val="0"/>
        <w:spacing w:line="200" w:lineRule="exact"/>
        <w:jc w:val="left"/>
        <w:rPr>
          <w:rFonts w:ascii="宋体" w:hAnsi="宋体" w:cs="宋体"/>
          <w:color w:val="auto"/>
          <w:kern w:val="0"/>
          <w:sz w:val="24"/>
          <w:szCs w:val="24"/>
          <w:highlight w:val="none"/>
        </w:rPr>
      </w:pPr>
    </w:p>
    <w:p w14:paraId="23448AA2">
      <w:pPr>
        <w:shd w:val="clear"/>
        <w:autoSpaceDE w:val="0"/>
        <w:autoSpaceDN w:val="0"/>
        <w:adjustRightInd w:val="0"/>
        <w:spacing w:line="200" w:lineRule="exact"/>
        <w:jc w:val="left"/>
        <w:rPr>
          <w:rFonts w:ascii="宋体" w:hAnsi="宋体" w:cs="宋体"/>
          <w:color w:val="auto"/>
          <w:kern w:val="0"/>
          <w:sz w:val="24"/>
          <w:szCs w:val="24"/>
          <w:highlight w:val="none"/>
        </w:rPr>
      </w:pPr>
    </w:p>
    <w:p w14:paraId="0DE694AB">
      <w:pPr>
        <w:shd w:val="clear"/>
        <w:autoSpaceDE w:val="0"/>
        <w:autoSpaceDN w:val="0"/>
        <w:adjustRightInd w:val="0"/>
        <w:spacing w:line="200" w:lineRule="exact"/>
        <w:jc w:val="left"/>
        <w:rPr>
          <w:rFonts w:ascii="宋体" w:hAnsi="宋体" w:cs="宋体"/>
          <w:color w:val="auto"/>
          <w:kern w:val="0"/>
          <w:sz w:val="24"/>
          <w:szCs w:val="24"/>
          <w:highlight w:val="none"/>
        </w:rPr>
      </w:pPr>
    </w:p>
    <w:p w14:paraId="46659166">
      <w:pPr>
        <w:shd w:val="clear"/>
        <w:autoSpaceDE w:val="0"/>
        <w:autoSpaceDN w:val="0"/>
        <w:adjustRightInd w:val="0"/>
        <w:spacing w:line="200" w:lineRule="exact"/>
        <w:jc w:val="left"/>
        <w:rPr>
          <w:rFonts w:ascii="宋体" w:hAnsi="宋体" w:cs="宋体"/>
          <w:color w:val="auto"/>
          <w:kern w:val="0"/>
          <w:sz w:val="24"/>
          <w:szCs w:val="24"/>
          <w:highlight w:val="none"/>
        </w:rPr>
      </w:pPr>
    </w:p>
    <w:p w14:paraId="224E6C19">
      <w:pPr>
        <w:shd w:val="clear"/>
        <w:autoSpaceDE w:val="0"/>
        <w:autoSpaceDN w:val="0"/>
        <w:adjustRightInd w:val="0"/>
        <w:spacing w:line="200" w:lineRule="exact"/>
        <w:jc w:val="left"/>
        <w:rPr>
          <w:rFonts w:ascii="宋体" w:hAnsi="宋体" w:cs="宋体"/>
          <w:color w:val="auto"/>
          <w:kern w:val="0"/>
          <w:sz w:val="24"/>
          <w:szCs w:val="24"/>
          <w:highlight w:val="none"/>
        </w:rPr>
      </w:pPr>
    </w:p>
    <w:p w14:paraId="0EDF1A1C">
      <w:pPr>
        <w:shd w:val="clear"/>
        <w:autoSpaceDE w:val="0"/>
        <w:autoSpaceDN w:val="0"/>
        <w:adjustRightInd w:val="0"/>
        <w:spacing w:line="200" w:lineRule="exact"/>
        <w:jc w:val="left"/>
        <w:rPr>
          <w:rFonts w:ascii="宋体" w:hAnsi="宋体" w:cs="宋体"/>
          <w:color w:val="auto"/>
          <w:kern w:val="0"/>
          <w:sz w:val="32"/>
          <w:szCs w:val="32"/>
          <w:highlight w:val="none"/>
        </w:rPr>
      </w:pPr>
    </w:p>
    <w:p w14:paraId="30D4BEAD">
      <w:pPr>
        <w:shd w:val="clear"/>
        <w:autoSpaceDE w:val="0"/>
        <w:autoSpaceDN w:val="0"/>
        <w:adjustRightInd w:val="0"/>
        <w:spacing w:before="95"/>
        <w:jc w:val="center"/>
        <w:rPr>
          <w:rFonts w:ascii="宋体" w:hAnsi="宋体" w:cs="宋体"/>
          <w:color w:val="auto"/>
          <w:kern w:val="0"/>
          <w:sz w:val="32"/>
          <w:szCs w:val="32"/>
          <w:highlight w:val="none"/>
        </w:rPr>
      </w:pPr>
      <w:r>
        <w:rPr>
          <w:rFonts w:hint="eastAsia" w:ascii="宋体" w:hAnsi="宋体" w:cs="宋体"/>
          <w:color w:val="auto"/>
          <w:kern w:val="0"/>
          <w:sz w:val="32"/>
          <w:szCs w:val="32"/>
          <w:highlight w:val="none"/>
        </w:rPr>
        <w:t>投标人 ：</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（盖单位章）</w:t>
      </w:r>
    </w:p>
    <w:p w14:paraId="735FA591">
      <w:pPr>
        <w:shd w:val="clear"/>
        <w:autoSpaceDE w:val="0"/>
        <w:autoSpaceDN w:val="0"/>
        <w:adjustRightInd w:val="0"/>
        <w:spacing w:before="95"/>
        <w:rPr>
          <w:rFonts w:ascii="宋体" w:hAnsi="宋体" w:cs="宋体"/>
          <w:color w:val="auto"/>
          <w:kern w:val="0"/>
          <w:sz w:val="32"/>
          <w:szCs w:val="32"/>
          <w:highlight w:val="none"/>
        </w:rPr>
      </w:pPr>
    </w:p>
    <w:p w14:paraId="383FE1C5">
      <w:pPr>
        <w:shd w:val="clear"/>
        <w:autoSpaceDE w:val="0"/>
        <w:autoSpaceDN w:val="0"/>
        <w:adjustRightInd w:val="0"/>
        <w:spacing w:before="202"/>
        <w:jc w:val="center"/>
        <w:rPr>
          <w:rFonts w:ascii="宋体" w:hAnsi="宋体" w:cs="宋体"/>
          <w:color w:val="auto"/>
          <w:kern w:val="0"/>
          <w:sz w:val="32"/>
          <w:szCs w:val="32"/>
          <w:highlight w:val="none"/>
        </w:rPr>
      </w:pPr>
      <w:r>
        <w:rPr>
          <w:rFonts w:hint="eastAsia" w:ascii="宋体" w:hAnsi="宋体" w:cs="宋体"/>
          <w:color w:val="auto"/>
          <w:kern w:val="0"/>
          <w:sz w:val="32"/>
          <w:szCs w:val="32"/>
          <w:highlight w:val="none"/>
        </w:rPr>
        <w:t>法定代表人</w:t>
      </w:r>
      <w:r>
        <w:rPr>
          <w:rFonts w:hint="eastAsia" w:ascii="宋体" w:hAnsi="宋体" w:cs="宋体"/>
          <w:color w:val="auto"/>
          <w:kern w:val="0"/>
          <w:sz w:val="32"/>
          <w:szCs w:val="32"/>
          <w:highlight w:val="none"/>
          <w:lang w:val="en-US" w:eastAsia="zh-CN"/>
        </w:rPr>
        <w:t>/执行合伙事务的合伙人</w:t>
      </w:r>
      <w:r>
        <w:rPr>
          <w:rFonts w:hint="eastAsia" w:ascii="宋体" w:hAnsi="宋体" w:cs="宋体"/>
          <w:color w:val="auto"/>
          <w:kern w:val="0"/>
          <w:sz w:val="32"/>
          <w:szCs w:val="32"/>
          <w:highlight w:val="none"/>
        </w:rPr>
        <w:t>或其委托代理人：</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（签字</w:t>
      </w:r>
      <w:r>
        <w:rPr>
          <w:rFonts w:hint="eastAsia" w:ascii="宋体" w:hAnsi="宋体" w:cs="宋体"/>
          <w:color w:val="auto"/>
          <w:kern w:val="0"/>
          <w:sz w:val="32"/>
          <w:szCs w:val="32"/>
          <w:highlight w:val="none"/>
          <w:lang w:val="en-US" w:eastAsia="zh-CN"/>
        </w:rPr>
        <w:t>或盖章</w:t>
      </w:r>
      <w:r>
        <w:rPr>
          <w:rFonts w:hint="eastAsia" w:ascii="宋体" w:hAnsi="宋体" w:cs="宋体"/>
          <w:color w:val="auto"/>
          <w:kern w:val="0"/>
          <w:sz w:val="32"/>
          <w:szCs w:val="32"/>
          <w:highlight w:val="none"/>
        </w:rPr>
        <w:t>）</w:t>
      </w:r>
    </w:p>
    <w:p w14:paraId="4DC31C79">
      <w:pPr>
        <w:shd w:val="clear"/>
        <w:autoSpaceDE w:val="0"/>
        <w:autoSpaceDN w:val="0"/>
        <w:adjustRightInd w:val="0"/>
        <w:spacing w:line="200" w:lineRule="exact"/>
        <w:jc w:val="left"/>
        <w:rPr>
          <w:rFonts w:ascii="宋体" w:hAnsi="宋体" w:cs="宋体"/>
          <w:color w:val="auto"/>
          <w:kern w:val="0"/>
          <w:sz w:val="32"/>
          <w:szCs w:val="32"/>
          <w:highlight w:val="none"/>
        </w:rPr>
      </w:pPr>
    </w:p>
    <w:p w14:paraId="28E99064">
      <w:pPr>
        <w:shd w:val="clear"/>
        <w:autoSpaceDE w:val="0"/>
        <w:autoSpaceDN w:val="0"/>
        <w:adjustRightInd w:val="0"/>
        <w:spacing w:line="200" w:lineRule="exact"/>
        <w:jc w:val="left"/>
        <w:rPr>
          <w:rFonts w:ascii="宋体" w:hAnsi="宋体" w:cs="宋体"/>
          <w:color w:val="auto"/>
          <w:kern w:val="0"/>
          <w:sz w:val="32"/>
          <w:szCs w:val="32"/>
          <w:highlight w:val="none"/>
        </w:rPr>
      </w:pPr>
    </w:p>
    <w:p w14:paraId="040B9366">
      <w:pPr>
        <w:shd w:val="clear"/>
        <w:autoSpaceDE w:val="0"/>
        <w:autoSpaceDN w:val="0"/>
        <w:adjustRightInd w:val="0"/>
        <w:spacing w:before="165"/>
        <w:ind w:left="2410"/>
        <w:rPr>
          <w:rFonts w:ascii="宋体" w:hAnsi="宋体" w:cs="宋体"/>
          <w:color w:val="auto"/>
          <w:kern w:val="0"/>
          <w:sz w:val="32"/>
          <w:szCs w:val="32"/>
          <w:highlight w:val="none"/>
        </w:rPr>
      </w:pP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年</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月</w:t>
      </w:r>
      <w:r>
        <w:rPr>
          <w:rFonts w:hint="eastAsia" w:ascii="宋体" w:hAnsi="宋体" w:cs="宋体"/>
          <w:color w:val="auto"/>
          <w:kern w:val="0"/>
          <w:sz w:val="32"/>
          <w:szCs w:val="32"/>
          <w:highlight w:val="none"/>
          <w:u w:val="single"/>
        </w:rPr>
        <w:t xml:space="preserve">       </w:t>
      </w:r>
      <w:r>
        <w:rPr>
          <w:rFonts w:hint="eastAsia" w:ascii="宋体" w:hAnsi="宋体" w:cs="宋体"/>
          <w:color w:val="auto"/>
          <w:kern w:val="0"/>
          <w:sz w:val="32"/>
          <w:szCs w:val="32"/>
          <w:highlight w:val="none"/>
        </w:rPr>
        <w:t>日</w:t>
      </w:r>
    </w:p>
    <w:p w14:paraId="0C7D7EBF">
      <w:pPr>
        <w:shd w:val="clear"/>
        <w:adjustRightInd w:val="0"/>
        <w:snapToGrid w:val="0"/>
        <w:spacing w:line="360" w:lineRule="auto"/>
        <w:rPr>
          <w:rFonts w:ascii="宋体" w:hAnsi="宋体" w:cs="宋体"/>
          <w:b/>
          <w:color w:val="auto"/>
          <w:sz w:val="28"/>
          <w:szCs w:val="28"/>
          <w:highlight w:val="none"/>
        </w:rPr>
      </w:pPr>
    </w:p>
    <w:p w14:paraId="4AF9CE17">
      <w:pPr>
        <w:pStyle w:val="14"/>
        <w:shd w:val="clear"/>
        <w:ind w:firstLine="562"/>
        <w:rPr>
          <w:rFonts w:ascii="宋体" w:hAnsi="宋体" w:cs="宋体"/>
          <w:b/>
          <w:color w:val="auto"/>
          <w:sz w:val="28"/>
          <w:szCs w:val="28"/>
          <w:highlight w:val="none"/>
        </w:rPr>
      </w:pPr>
    </w:p>
    <w:p w14:paraId="711D78EC">
      <w:pPr>
        <w:pStyle w:val="13"/>
        <w:shd w:val="clear"/>
        <w:ind w:left="562" w:hanging="562"/>
        <w:rPr>
          <w:rFonts w:ascii="宋体" w:hAnsi="宋体" w:cs="宋体"/>
          <w:b/>
          <w:color w:val="auto"/>
          <w:sz w:val="28"/>
          <w:szCs w:val="28"/>
          <w:highlight w:val="none"/>
        </w:rPr>
      </w:pPr>
    </w:p>
    <w:bookmarkEnd w:id="306"/>
    <w:bookmarkEnd w:id="307"/>
    <w:bookmarkEnd w:id="308"/>
    <w:bookmarkEnd w:id="309"/>
    <w:bookmarkEnd w:id="310"/>
    <w:bookmarkEnd w:id="311"/>
    <w:p w14:paraId="3F21284C">
      <w:pPr>
        <w:keepNext w:val="0"/>
        <w:keepLines w:val="0"/>
        <w:pageBreakBefore w:val="0"/>
        <w:shd w:val="clear"/>
        <w:kinsoku/>
        <w:wordWrap/>
        <w:overflowPunct/>
        <w:topLinePunct w:val="0"/>
        <w:autoSpaceDE/>
        <w:autoSpaceDN/>
        <w:bidi w:val="0"/>
        <w:spacing w:line="360" w:lineRule="auto"/>
        <w:jc w:val="center"/>
        <w:textAlignment w:val="auto"/>
        <w:rPr>
          <w:rFonts w:ascii="宋体" w:hAnsi="宋体" w:cs="宋体"/>
          <w:b/>
          <w:bCs/>
          <w:color w:val="auto"/>
          <w:kern w:val="0"/>
          <w:sz w:val="32"/>
          <w:szCs w:val="32"/>
          <w:highlight w:val="none"/>
        </w:rPr>
      </w:pPr>
      <w:bookmarkStart w:id="312" w:name="_Toc197934561"/>
      <w:bookmarkStart w:id="313" w:name="_Toc323739436"/>
      <w:bookmarkStart w:id="314" w:name="_Toc295898950"/>
      <w:r>
        <w:rPr>
          <w:rFonts w:hint="eastAsia" w:ascii="宋体" w:hAnsi="宋体" w:cs="宋体"/>
          <w:b/>
          <w:bCs/>
          <w:color w:val="auto"/>
          <w:kern w:val="0"/>
          <w:sz w:val="32"/>
          <w:szCs w:val="32"/>
          <w:highlight w:val="none"/>
        </w:rPr>
        <w:t>一、投标函及投标函附录</w:t>
      </w:r>
    </w:p>
    <w:p w14:paraId="360898C9">
      <w:pPr>
        <w:keepNext w:val="0"/>
        <w:keepLines w:val="0"/>
        <w:pageBreakBefore w:val="0"/>
        <w:widowControl/>
        <w:shd w:val="clear"/>
        <w:kinsoku/>
        <w:wordWrap/>
        <w:overflowPunct/>
        <w:topLinePunct w:val="0"/>
        <w:autoSpaceDE/>
        <w:autoSpaceDN/>
        <w:bidi w:val="0"/>
        <w:spacing w:line="360" w:lineRule="auto"/>
        <w:jc w:val="center"/>
        <w:textAlignment w:val="auto"/>
        <w:rPr>
          <w:rFonts w:ascii="宋体" w:hAnsi="宋体" w:cs="宋体"/>
          <w:b/>
          <w:bCs/>
          <w:color w:val="auto"/>
          <w:sz w:val="28"/>
          <w:szCs w:val="28"/>
          <w:highlight w:val="none"/>
        </w:rPr>
      </w:pPr>
      <w:bookmarkStart w:id="315" w:name="_Toc487461433"/>
      <w:bookmarkStart w:id="316" w:name="_Hlk450185103"/>
      <w:r>
        <w:rPr>
          <w:rFonts w:hint="eastAsia" w:ascii="宋体" w:hAnsi="宋体" w:cs="宋体"/>
          <w:b/>
          <w:bCs/>
          <w:color w:val="auto"/>
          <w:sz w:val="28"/>
          <w:szCs w:val="28"/>
          <w:highlight w:val="none"/>
        </w:rPr>
        <w:t>投 标 函</w:t>
      </w:r>
      <w:bookmarkEnd w:id="315"/>
    </w:p>
    <w:p w14:paraId="6AB77A94">
      <w:pPr>
        <w:keepNext w:val="0"/>
        <w:keepLines w:val="0"/>
        <w:pageBreakBefore w:val="0"/>
        <w:shd w:val="clear"/>
        <w:kinsoku/>
        <w:wordWrap/>
        <w:overflowPunct/>
        <w:topLinePunct w:val="0"/>
        <w:autoSpaceDE/>
        <w:autoSpaceDN/>
        <w:bidi w:val="0"/>
        <w:spacing w:line="360" w:lineRule="auto"/>
        <w:textAlignment w:val="auto"/>
        <w:rPr>
          <w:rFonts w:ascii="宋体" w:hAnsi="宋体" w:cs="宋体"/>
          <w:color w:val="auto"/>
          <w:sz w:val="24"/>
          <w:szCs w:val="24"/>
          <w:highlight w:val="none"/>
        </w:rPr>
      </w:pPr>
      <w:r>
        <w:rPr>
          <w:rFonts w:hint="eastAsia" w:ascii="宋体" w:hAnsi="宋体" w:cs="宋体"/>
          <w:color w:val="auto"/>
          <w:sz w:val="24"/>
          <w:szCs w:val="24"/>
          <w:highlight w:val="none"/>
        </w:rPr>
        <w:t>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（招标人名称） </w:t>
      </w:r>
    </w:p>
    <w:p w14:paraId="12C3AE09">
      <w:pPr>
        <w:keepNext w:val="0"/>
        <w:keepLines w:val="0"/>
        <w:pageBreakBefore w:val="0"/>
        <w:shd w:val="clear"/>
        <w:kinsoku/>
        <w:wordWrap/>
        <w:overflowPunct/>
        <w:topLinePunct w:val="0"/>
        <w:autoSpaceDE/>
        <w:autoSpaceDN/>
        <w:bidi w:val="0"/>
        <w:adjustRightInd w:val="0"/>
        <w:snapToGrid w:val="0"/>
        <w:spacing w:line="360" w:lineRule="auto"/>
        <w:ind w:right="-10" w:firstLine="480" w:firstLineChars="200"/>
        <w:textAlignment w:val="auto"/>
        <w:rPr>
          <w:rFonts w:hint="eastAsia" w:ascii="宋体" w:hAnsi="宋体"/>
          <w:bCs/>
          <w:color w:val="auto"/>
          <w:kern w:val="0"/>
          <w:sz w:val="24"/>
          <w:szCs w:val="24"/>
          <w:highlight w:val="none"/>
          <w:lang w:val="zh-CN"/>
        </w:rPr>
      </w:pPr>
      <w:r>
        <w:rPr>
          <w:rFonts w:hint="eastAsia" w:ascii="宋体" w:hAnsi="宋体" w:cs="宋体"/>
          <w:color w:val="auto"/>
          <w:sz w:val="24"/>
          <w:szCs w:val="24"/>
          <w:highlight w:val="none"/>
        </w:rPr>
        <w:t>1、我方己仔细研究了</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（项目编号）</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（项目名称）</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招标文件的全部内容和要求</w:t>
      </w:r>
      <w:r>
        <w:rPr>
          <w:rFonts w:hint="eastAsia" w:ascii="宋体" w:hAnsi="Calibri"/>
          <w:color w:val="auto"/>
          <w:sz w:val="24"/>
          <w:szCs w:val="24"/>
          <w:highlight w:val="none"/>
        </w:rPr>
        <w:t>，提交投标</w:t>
      </w:r>
      <w:r>
        <w:rPr>
          <w:rFonts w:hint="eastAsia" w:ascii="宋体" w:hAnsi="宋体"/>
          <w:bCs/>
          <w:color w:val="auto"/>
          <w:kern w:val="0"/>
          <w:sz w:val="24"/>
          <w:szCs w:val="24"/>
          <w:highlight w:val="none"/>
          <w:lang w:val="zh-CN"/>
        </w:rPr>
        <w:t>文件电子版 1 份；</w:t>
      </w:r>
      <w:r>
        <w:rPr>
          <w:rFonts w:hint="eastAsia" w:ascii="宋体" w:hAnsi="宋体"/>
          <w:bCs/>
          <w:color w:val="auto"/>
          <w:kern w:val="0"/>
          <w:sz w:val="24"/>
          <w:szCs w:val="24"/>
          <w:highlight w:val="none"/>
          <w:lang w:val="en-US" w:eastAsia="zh-CN"/>
        </w:rPr>
        <w:t>同意投标报价按：（1）为基金投资项目提供尽调服务的会计师事务所单个项目服务最高限价不超过6万元（包干价），上述限价包含服务机构履行服务所需的差旅、住宿等一切费用，招标人不再另行支付任何费用。（2）其他事项需选用中介机构提供服务的，服务价格实行一事一议制</w:t>
      </w:r>
      <w:r>
        <w:rPr>
          <w:rFonts w:hint="eastAsia" w:ascii="宋体" w:hAnsi="宋体"/>
          <w:bCs/>
          <w:color w:val="auto"/>
          <w:kern w:val="0"/>
          <w:sz w:val="24"/>
          <w:szCs w:val="24"/>
          <w:highlight w:val="none"/>
          <w:lang w:val="zh-CN"/>
        </w:rPr>
        <w:t>。</w:t>
      </w:r>
    </w:p>
    <w:p w14:paraId="1EBC0895">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Calibri"/>
          <w:color w:val="auto"/>
          <w:sz w:val="24"/>
          <w:szCs w:val="24"/>
          <w:highlight w:val="none"/>
        </w:rPr>
      </w:pPr>
      <w:r>
        <w:rPr>
          <w:rFonts w:hint="eastAsia" w:ascii="宋体" w:hAnsi="Calibri"/>
          <w:color w:val="auto"/>
          <w:sz w:val="24"/>
          <w:szCs w:val="24"/>
          <w:highlight w:val="none"/>
        </w:rPr>
        <w:t>我方承诺同意接受招标文件的全部内容和条件</w:t>
      </w:r>
      <w:r>
        <w:rPr>
          <w:rFonts w:hint="eastAsia" w:ascii="宋体" w:hAnsi="Calibri"/>
          <w:color w:val="auto"/>
          <w:sz w:val="24"/>
          <w:szCs w:val="24"/>
          <w:highlight w:val="none"/>
          <w:lang w:eastAsia="zh-CN"/>
        </w:rPr>
        <w:t>（</w:t>
      </w:r>
      <w:r>
        <w:rPr>
          <w:rFonts w:hint="eastAsia" w:ascii="宋体" w:hAnsi="Calibri"/>
          <w:color w:val="auto"/>
          <w:sz w:val="24"/>
          <w:szCs w:val="24"/>
          <w:highlight w:val="none"/>
          <w:lang w:val="en-US" w:eastAsia="zh-CN"/>
        </w:rPr>
        <w:t>包括但不限于服务期限、质量标准等</w:t>
      </w:r>
      <w:r>
        <w:rPr>
          <w:rFonts w:hint="eastAsia" w:ascii="宋体" w:hAnsi="Calibri"/>
          <w:color w:val="auto"/>
          <w:sz w:val="24"/>
          <w:szCs w:val="24"/>
          <w:highlight w:val="none"/>
          <w:lang w:eastAsia="zh-CN"/>
        </w:rPr>
        <w:t>）</w:t>
      </w:r>
      <w:r>
        <w:rPr>
          <w:rFonts w:hint="eastAsia" w:ascii="宋体" w:hAnsi="Calibri"/>
          <w:color w:val="auto"/>
          <w:sz w:val="24"/>
          <w:szCs w:val="24"/>
          <w:highlight w:val="none"/>
        </w:rPr>
        <w:t>。</w:t>
      </w:r>
    </w:p>
    <w:p w14:paraId="4E8B8488">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u w:val="single"/>
        </w:rPr>
      </w:pPr>
      <w:r>
        <w:rPr>
          <w:rFonts w:ascii="宋体" w:hAnsi="宋体" w:cs="宋体"/>
          <w:color w:val="auto"/>
          <w:sz w:val="24"/>
          <w:szCs w:val="24"/>
          <w:highlight w:val="none"/>
        </w:rPr>
        <w:t>2</w:t>
      </w:r>
      <w:r>
        <w:rPr>
          <w:rFonts w:hint="eastAsia" w:ascii="宋体" w:hAnsi="宋体" w:cs="宋体"/>
          <w:color w:val="auto"/>
          <w:sz w:val="24"/>
          <w:szCs w:val="24"/>
          <w:highlight w:val="none"/>
        </w:rPr>
        <w:t>.我方承诺按</w:t>
      </w:r>
      <w:r>
        <w:rPr>
          <w:rFonts w:hint="eastAsia" w:ascii="宋体" w:hAnsi="宋体" w:cs="宋体"/>
          <w:color w:val="auto"/>
          <w:sz w:val="24"/>
          <w:szCs w:val="24"/>
          <w:highlight w:val="none"/>
          <w:lang w:val="en-US" w:eastAsia="zh-CN"/>
        </w:rPr>
        <w:t>入库协议</w:t>
      </w:r>
      <w:r>
        <w:rPr>
          <w:rFonts w:hint="eastAsia" w:ascii="宋体" w:hAnsi="宋体" w:cs="宋体"/>
          <w:color w:val="auto"/>
          <w:sz w:val="24"/>
          <w:szCs w:val="24"/>
          <w:highlight w:val="none"/>
        </w:rPr>
        <w:t>、招标文件及单个项目委托书要求实施和完成服务。</w:t>
      </w:r>
    </w:p>
    <w:p w14:paraId="41A0A0B4">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ascii="宋体" w:hAnsi="宋体" w:cs="宋体"/>
          <w:color w:val="auto"/>
          <w:sz w:val="24"/>
          <w:szCs w:val="24"/>
          <w:highlight w:val="none"/>
        </w:rPr>
        <w:t>3</w:t>
      </w:r>
      <w:r>
        <w:rPr>
          <w:rFonts w:hint="eastAsia" w:ascii="宋体" w:hAnsi="宋体" w:cs="宋体"/>
          <w:color w:val="auto"/>
          <w:sz w:val="24"/>
          <w:szCs w:val="24"/>
          <w:highlight w:val="none"/>
        </w:rPr>
        <w:t>．我方承诺在投标有效期内不修改、撤销投标文件。</w:t>
      </w:r>
    </w:p>
    <w:p w14:paraId="3D809B62">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ascii="宋体" w:hAnsi="宋体" w:cs="宋体"/>
          <w:color w:val="auto"/>
          <w:sz w:val="24"/>
          <w:szCs w:val="24"/>
          <w:highlight w:val="none"/>
        </w:rPr>
        <w:t>4</w:t>
      </w:r>
      <w:r>
        <w:rPr>
          <w:rFonts w:hint="eastAsia" w:ascii="宋体" w:hAnsi="宋体" w:cs="宋体"/>
          <w:color w:val="auto"/>
          <w:sz w:val="24"/>
          <w:szCs w:val="24"/>
          <w:highlight w:val="none"/>
        </w:rPr>
        <w:t>．如我方中标，承诺如下：</w:t>
      </w:r>
    </w:p>
    <w:p w14:paraId="2FB3C4C1">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(l）在收到中标通知书后，在中标通知书规定的期限内与你方签订合同。</w:t>
      </w:r>
      <w:bookmarkStart w:id="321" w:name="_GoBack"/>
      <w:bookmarkEnd w:id="321"/>
    </w:p>
    <w:p w14:paraId="095DB55C">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(2）随同本投标函递交的投标函附录（投标人诚信承诺书）属于合同文件的组成部分。</w:t>
      </w:r>
    </w:p>
    <w:p w14:paraId="74D46005">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(3）按照招标文件规定向你方递交履约担保。</w:t>
      </w:r>
    </w:p>
    <w:p w14:paraId="12BBFA2C">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(4）在合同约定的期限内完成服务内容，并接受贵方的考核。</w:t>
      </w:r>
    </w:p>
    <w:p w14:paraId="34C85E52">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(5）本投标函在招标文件规定的提交投标文件截止时间后，在招标文件规定的投标有效期期满前对我方具有约束力，且随时准备接受你方发出的中标通知书。</w:t>
      </w:r>
    </w:p>
    <w:p w14:paraId="2941DFAE">
      <w:pPr>
        <w:keepNext w:val="0"/>
        <w:keepLines w:val="0"/>
        <w:pageBreakBefore w:val="0"/>
        <w:shd w:val="clear"/>
        <w:kinsoku/>
        <w:wordWrap/>
        <w:overflowPunct/>
        <w:topLinePunct w:val="0"/>
        <w:autoSpaceDE/>
        <w:autoSpaceDN/>
        <w:bidi w:val="0"/>
        <w:spacing w:line="360" w:lineRule="auto"/>
        <w:textAlignment w:val="auto"/>
        <w:rPr>
          <w:rFonts w:ascii="宋体" w:hAnsi="宋体" w:cs="宋体"/>
          <w:color w:val="auto"/>
          <w:sz w:val="24"/>
          <w:szCs w:val="24"/>
          <w:highlight w:val="none"/>
        </w:rPr>
      </w:pPr>
      <w:r>
        <w:rPr>
          <w:rFonts w:hint="eastAsia" w:ascii="宋体" w:hAnsi="宋体" w:cs="宋体"/>
          <w:color w:val="auto"/>
          <w:sz w:val="24"/>
          <w:szCs w:val="24"/>
          <w:highlight w:val="none"/>
        </w:rPr>
        <w:t xml:space="preserve">   （6）在价款结算过程中按照招标文件及单个项目委托书要求约定的方式进行结算。</w:t>
      </w:r>
    </w:p>
    <w:p w14:paraId="00498FD7">
      <w:pPr>
        <w:keepNext w:val="0"/>
        <w:keepLines w:val="0"/>
        <w:pageBreakBefore w:val="0"/>
        <w:shd w:val="clear"/>
        <w:kinsoku/>
        <w:wordWrap/>
        <w:overflowPunct/>
        <w:topLinePunct w:val="0"/>
        <w:autoSpaceDE/>
        <w:autoSpaceDN/>
        <w:bidi w:val="0"/>
        <w:spacing w:line="360" w:lineRule="auto"/>
        <w:ind w:firstLine="480"/>
        <w:textAlignment w:val="auto"/>
        <w:rPr>
          <w:rFonts w:ascii="宋体" w:hAnsi="宋体" w:cs="宋体"/>
          <w:color w:val="auto"/>
          <w:sz w:val="24"/>
          <w:szCs w:val="24"/>
          <w:highlight w:val="none"/>
        </w:rPr>
      </w:pPr>
      <w:r>
        <w:rPr>
          <w:rFonts w:hint="eastAsia" w:ascii="宋体" w:hAnsi="宋体" w:cs="宋体"/>
          <w:color w:val="auto"/>
          <w:sz w:val="24"/>
          <w:szCs w:val="24"/>
          <w:highlight w:val="none"/>
        </w:rPr>
        <w:t>(7) 后期履约过程中除不可抗力外如放弃（拒绝）履约，同意履约保证金不予退还，三年内不参与</w:t>
      </w:r>
      <w:r>
        <w:rPr>
          <w:rFonts w:hint="eastAsia" w:ascii="宋体" w:hAnsi="宋体" w:cs="宋体"/>
          <w:color w:val="auto"/>
          <w:sz w:val="24"/>
          <w:szCs w:val="24"/>
          <w:highlight w:val="none"/>
          <w:lang w:val="en-US" w:eastAsia="zh-CN"/>
        </w:rPr>
        <w:t>贵单位</w:t>
      </w:r>
      <w:r>
        <w:rPr>
          <w:rFonts w:hint="eastAsia" w:ascii="宋体" w:hAnsi="宋体" w:cs="宋体"/>
          <w:color w:val="auto"/>
          <w:sz w:val="24"/>
          <w:szCs w:val="24"/>
          <w:highlight w:val="none"/>
          <w:lang w:eastAsia="zh-CN"/>
        </w:rPr>
        <w:t>招标采购活动</w:t>
      </w:r>
      <w:r>
        <w:rPr>
          <w:rFonts w:hint="eastAsia" w:ascii="宋体" w:hAnsi="宋体" w:cs="宋体"/>
          <w:color w:val="auto"/>
          <w:sz w:val="24"/>
          <w:szCs w:val="24"/>
          <w:highlight w:val="none"/>
        </w:rPr>
        <w:t>。</w:t>
      </w:r>
    </w:p>
    <w:p w14:paraId="238FD9A9">
      <w:pPr>
        <w:keepNext w:val="0"/>
        <w:keepLines w:val="0"/>
        <w:pageBreakBefore w:val="0"/>
        <w:shd w:val="clear"/>
        <w:kinsoku/>
        <w:wordWrap/>
        <w:overflowPunct/>
        <w:topLinePunct w:val="0"/>
        <w:autoSpaceDE/>
        <w:autoSpaceDN/>
        <w:bidi w:val="0"/>
        <w:spacing w:line="360" w:lineRule="auto"/>
        <w:ind w:firstLine="480"/>
        <w:textAlignment w:val="auto"/>
        <w:rPr>
          <w:rFonts w:ascii="宋体" w:hAnsi="宋体" w:cs="宋体"/>
          <w:color w:val="auto"/>
          <w:sz w:val="24"/>
          <w:szCs w:val="24"/>
          <w:highlight w:val="none"/>
        </w:rPr>
      </w:pPr>
      <w:r>
        <w:rPr>
          <w:rFonts w:ascii="宋体" w:hAnsi="宋体" w:cs="宋体"/>
          <w:color w:val="auto"/>
          <w:sz w:val="24"/>
          <w:szCs w:val="24"/>
          <w:highlight w:val="none"/>
        </w:rPr>
        <w:t>5</w:t>
      </w:r>
      <w:r>
        <w:rPr>
          <w:rFonts w:hint="eastAsia" w:ascii="宋体" w:hAnsi="宋体" w:cs="宋体"/>
          <w:color w:val="auto"/>
          <w:sz w:val="24"/>
          <w:szCs w:val="24"/>
          <w:highlight w:val="none"/>
        </w:rPr>
        <w:t>．我方在此声明，所递交的投标文件及有关资料内容完整、真实和准确，且不存在第二章“投标人须知”第1.4.3 项规定、投标人诚信承诺书及以下不良信用记录的任何一种情形。</w:t>
      </w:r>
    </w:p>
    <w:p w14:paraId="4C61135F">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(1）投标人被人民法院列入失信被执行人的；</w:t>
      </w:r>
    </w:p>
    <w:p w14:paraId="7B37D1DB">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(2）投标人被工商行政管理部门列入企业经营异常名录的；</w:t>
      </w:r>
    </w:p>
    <w:p w14:paraId="422BC6EC">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(3）投标人被税务部门列入重大税收违法案件当事人名单的；</w:t>
      </w:r>
    </w:p>
    <w:p w14:paraId="5B919B0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(4）投标人被政府采购监管部门列入政府采购严重违法失信行为记录名单的。</w:t>
      </w:r>
    </w:p>
    <w:p w14:paraId="1BEBC971">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(5)近三年内投标人在经营活动中没有因违反有关法律法规受到刑事处罚或者取消资格的行政处罚</w:t>
      </w:r>
      <w:r>
        <w:rPr>
          <w:rFonts w:hint="eastAsia" w:ascii="宋体" w:hAnsi="宋体" w:cs="宋体"/>
          <w:color w:val="auto"/>
          <w:sz w:val="24"/>
          <w:szCs w:val="24"/>
          <w:highlight w:val="none"/>
          <w:lang w:eastAsia="zh-CN"/>
        </w:rPr>
        <w:t>；</w:t>
      </w:r>
    </w:p>
    <w:p w14:paraId="3C3DC41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）被行政主管部门限制投标的；</w:t>
      </w:r>
    </w:p>
    <w:p w14:paraId="01F67B86">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）有违法违规行为的；</w:t>
      </w:r>
    </w:p>
    <w:p w14:paraId="5ECF69D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）有违法犯罪记录的；</w:t>
      </w:r>
    </w:p>
    <w:p w14:paraId="2438F317">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rPr>
        <w:t>）有不良行为记录的。</w:t>
      </w:r>
    </w:p>
    <w:p w14:paraId="21BF865D">
      <w:pPr>
        <w:keepNext w:val="0"/>
        <w:keepLines w:val="0"/>
        <w:pageBreakBefore w:val="0"/>
        <w:shd w:val="clear"/>
        <w:kinsoku/>
        <w:wordWrap/>
        <w:overflowPunct/>
        <w:topLinePunct w:val="0"/>
        <w:autoSpaceDE/>
        <w:autoSpaceDN/>
        <w:bidi w:val="0"/>
        <w:spacing w:line="360" w:lineRule="auto"/>
        <w:ind w:firstLine="480" w:firstLineChars="200"/>
        <w:textAlignment w:val="auto"/>
        <w:rPr>
          <w:rFonts w:ascii="宋体" w:hAnsi="宋体" w:cs="宋体"/>
          <w:color w:val="auto"/>
          <w:sz w:val="24"/>
          <w:szCs w:val="24"/>
          <w:highlight w:val="none"/>
        </w:rPr>
      </w:pPr>
      <w:r>
        <w:rPr>
          <w:rFonts w:ascii="宋体" w:hAnsi="宋体" w:cs="宋体"/>
          <w:color w:val="auto"/>
          <w:sz w:val="24"/>
          <w:szCs w:val="24"/>
          <w:highlight w:val="none"/>
        </w:rPr>
        <w:t>6</w:t>
      </w:r>
      <w:r>
        <w:rPr>
          <w:rFonts w:hint="eastAsia" w:ascii="宋体" w:hAnsi="宋体" w:cs="宋体"/>
          <w:color w:val="auto"/>
          <w:sz w:val="24"/>
          <w:szCs w:val="24"/>
          <w:highlight w:val="none"/>
        </w:rPr>
        <w:t>.如招标人按照评标委员会提出的中标候选人名单排序顺延确定我单位为中标人,我单位作为顺延的中标候选人愿意和承诺按照</w:t>
      </w:r>
      <w:r>
        <w:rPr>
          <w:rFonts w:hint="eastAsia" w:ascii="宋体" w:hAnsi="宋体" w:cs="宋体"/>
          <w:color w:val="auto"/>
          <w:sz w:val="24"/>
          <w:szCs w:val="24"/>
          <w:highlight w:val="none"/>
          <w:lang w:val="en-US" w:eastAsia="zh-CN"/>
        </w:rPr>
        <w:t>入库协议</w:t>
      </w:r>
      <w:r>
        <w:rPr>
          <w:rFonts w:hint="eastAsia" w:ascii="宋体" w:hAnsi="宋体" w:cs="宋体"/>
          <w:color w:val="auto"/>
          <w:sz w:val="24"/>
          <w:szCs w:val="24"/>
          <w:highlight w:val="none"/>
        </w:rPr>
        <w:t>及单个项目委托书要求签订合同。</w:t>
      </w:r>
    </w:p>
    <w:p w14:paraId="395CC247">
      <w:pPr>
        <w:keepNext w:val="0"/>
        <w:keepLines w:val="0"/>
        <w:pageBreakBefore w:val="0"/>
        <w:shd w:val="clear"/>
        <w:kinsoku/>
        <w:wordWrap/>
        <w:overflowPunct/>
        <w:topLinePunct w:val="0"/>
        <w:autoSpaceDE/>
        <w:autoSpaceDN/>
        <w:bidi w:val="0"/>
        <w:spacing w:line="360" w:lineRule="auto"/>
        <w:ind w:firstLine="480"/>
        <w:textAlignment w:val="auto"/>
        <w:rPr>
          <w:rFonts w:ascii="宋体" w:hAnsi="宋体" w:cs="宋体"/>
          <w:color w:val="auto"/>
          <w:sz w:val="24"/>
          <w:szCs w:val="24"/>
          <w:highlight w:val="none"/>
        </w:rPr>
      </w:pPr>
      <w:r>
        <w:rPr>
          <w:rFonts w:ascii="宋体" w:hAnsi="宋体" w:cs="宋体"/>
          <w:color w:val="auto"/>
          <w:sz w:val="24"/>
          <w:szCs w:val="24"/>
          <w:highlight w:val="none"/>
        </w:rPr>
        <w:t>7</w:t>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（其他补充说明）。</w:t>
      </w:r>
    </w:p>
    <w:p w14:paraId="32262AAD">
      <w:pPr>
        <w:keepNext w:val="0"/>
        <w:keepLines w:val="0"/>
        <w:pageBreakBefore w:val="0"/>
        <w:shd w:val="clear"/>
        <w:kinsoku/>
        <w:wordWrap/>
        <w:overflowPunct/>
        <w:topLinePunct w:val="0"/>
        <w:autoSpaceDE/>
        <w:autoSpaceDN/>
        <w:bidi w:val="0"/>
        <w:spacing w:line="360" w:lineRule="auto"/>
        <w:ind w:firstLine="480"/>
        <w:textAlignment w:val="auto"/>
        <w:rPr>
          <w:rFonts w:ascii="宋体" w:hAnsi="宋体" w:cs="宋体"/>
          <w:color w:val="auto"/>
          <w:sz w:val="24"/>
          <w:szCs w:val="24"/>
          <w:highlight w:val="none"/>
        </w:rPr>
      </w:pPr>
      <w:r>
        <w:rPr>
          <w:rFonts w:hint="eastAsia" w:ascii="宋体" w:hAnsi="宋体" w:cs="宋体"/>
          <w:color w:val="auto"/>
          <w:sz w:val="24"/>
          <w:szCs w:val="24"/>
          <w:highlight w:val="none"/>
        </w:rPr>
        <w:t>附录1：投标人诚信承诺书；</w:t>
      </w:r>
    </w:p>
    <w:p w14:paraId="2B918BB1">
      <w:pPr>
        <w:keepNext w:val="0"/>
        <w:keepLines w:val="0"/>
        <w:pageBreakBefore w:val="0"/>
        <w:shd w:val="clear"/>
        <w:kinsoku/>
        <w:wordWrap/>
        <w:overflowPunct/>
        <w:topLinePunct w:val="0"/>
        <w:autoSpaceDE/>
        <w:autoSpaceDN/>
        <w:bidi w:val="0"/>
        <w:spacing w:line="360" w:lineRule="auto"/>
        <w:jc w:val="right"/>
        <w:textAlignment w:val="auto"/>
        <w:rPr>
          <w:rFonts w:ascii="宋体" w:hAnsi="宋体" w:cs="宋体"/>
          <w:color w:val="auto"/>
          <w:sz w:val="24"/>
          <w:szCs w:val="24"/>
          <w:highlight w:val="none"/>
        </w:rPr>
      </w:pPr>
      <w:r>
        <w:rPr>
          <w:rFonts w:hint="eastAsia" w:ascii="宋体" w:hAnsi="宋体" w:cs="宋体"/>
          <w:color w:val="auto"/>
          <w:sz w:val="24"/>
          <w:szCs w:val="24"/>
          <w:highlight w:val="none"/>
        </w:rPr>
        <w:t>投标人：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（盖单位章）</w:t>
      </w:r>
    </w:p>
    <w:p w14:paraId="0A95C49A">
      <w:pPr>
        <w:keepNext w:val="0"/>
        <w:keepLines w:val="0"/>
        <w:pageBreakBefore w:val="0"/>
        <w:shd w:val="clear"/>
        <w:kinsoku/>
        <w:wordWrap/>
        <w:overflowPunct/>
        <w:topLinePunct w:val="0"/>
        <w:autoSpaceDE/>
        <w:autoSpaceDN/>
        <w:bidi w:val="0"/>
        <w:spacing w:line="360" w:lineRule="auto"/>
        <w:jc w:val="right"/>
        <w:textAlignment w:val="auto"/>
        <w:rPr>
          <w:rFonts w:ascii="宋体" w:hAnsi="宋体" w:cs="宋体"/>
          <w:color w:val="auto"/>
          <w:sz w:val="24"/>
          <w:szCs w:val="24"/>
          <w:highlight w:val="none"/>
        </w:rPr>
      </w:pPr>
      <w:r>
        <w:rPr>
          <w:rFonts w:hint="eastAsia" w:ascii="宋体" w:hAnsi="宋体" w:cs="宋体"/>
          <w:color w:val="auto"/>
          <w:sz w:val="24"/>
          <w:szCs w:val="24"/>
          <w:highlight w:val="none"/>
        </w:rPr>
        <w:t>法定代表人/执行合伙事务的合伙人或其委托代理人：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（签字或盖章）</w:t>
      </w:r>
    </w:p>
    <w:p w14:paraId="50A04BD9">
      <w:pPr>
        <w:keepNext w:val="0"/>
        <w:keepLines w:val="0"/>
        <w:pageBreakBefore w:val="0"/>
        <w:shd w:val="clear"/>
        <w:kinsoku/>
        <w:wordWrap/>
        <w:overflowPunct/>
        <w:topLinePunct w:val="0"/>
        <w:autoSpaceDE/>
        <w:autoSpaceDN/>
        <w:bidi w:val="0"/>
        <w:spacing w:line="360"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 xml:space="preserve">             地  址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4237A82B">
      <w:pPr>
        <w:keepNext w:val="0"/>
        <w:keepLines w:val="0"/>
        <w:pageBreakBefore w:val="0"/>
        <w:shd w:val="clear"/>
        <w:kinsoku/>
        <w:wordWrap/>
        <w:overflowPunct/>
        <w:topLinePunct w:val="0"/>
        <w:autoSpaceDE/>
        <w:autoSpaceDN/>
        <w:bidi w:val="0"/>
        <w:spacing w:line="360" w:lineRule="auto"/>
        <w:ind w:firstLine="720" w:firstLineChars="300"/>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 xml:space="preserve">                     电   话</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1AEB6FF8">
      <w:pPr>
        <w:keepNext w:val="0"/>
        <w:keepLines w:val="0"/>
        <w:pageBreakBefore w:val="0"/>
        <w:shd w:val="clear"/>
        <w:kinsoku/>
        <w:wordWrap/>
        <w:overflowPunct/>
        <w:topLinePunct w:val="0"/>
        <w:autoSpaceDE/>
        <w:autoSpaceDN/>
        <w:bidi w:val="0"/>
        <w:spacing w:line="360" w:lineRule="auto"/>
        <w:jc w:val="center"/>
        <w:textAlignment w:val="auto"/>
        <w:rPr>
          <w:rFonts w:ascii="宋体" w:hAnsi="宋体" w:cs="宋体"/>
          <w:color w:val="auto"/>
          <w:sz w:val="24"/>
          <w:szCs w:val="24"/>
          <w:highlight w:val="none"/>
        </w:rPr>
      </w:pPr>
      <w:r>
        <w:rPr>
          <w:rFonts w:hint="eastAsia" w:ascii="宋体" w:hAnsi="宋体" w:cs="宋体"/>
          <w:color w:val="auto"/>
          <w:sz w:val="24"/>
          <w:szCs w:val="24"/>
          <w:highlight w:val="none"/>
        </w:rPr>
        <w:t xml:space="preserve">                      传  真</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p>
    <w:p w14:paraId="7A20B6A8">
      <w:pPr>
        <w:keepNext w:val="0"/>
        <w:keepLines w:val="0"/>
        <w:pageBreakBefore w:val="0"/>
        <w:shd w:val="clear"/>
        <w:kinsoku/>
        <w:wordWrap/>
        <w:overflowPunct/>
        <w:topLinePunct w:val="0"/>
        <w:autoSpaceDE/>
        <w:autoSpaceDN/>
        <w:bidi w:val="0"/>
        <w:spacing w:line="360" w:lineRule="auto"/>
        <w:ind w:firstLine="4944" w:firstLineChars="2060"/>
        <w:textAlignment w:val="auto"/>
        <w:rPr>
          <w:rFonts w:ascii="宋体" w:hAnsi="宋体" w:cs="宋体"/>
          <w:color w:val="auto"/>
          <w:sz w:val="24"/>
          <w:szCs w:val="24"/>
          <w:highlight w:val="none"/>
        </w:rPr>
      </w:pP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0FCC5912">
      <w:pPr>
        <w:widowControl/>
        <w:shd w:val="clear"/>
        <w:spacing w:line="360" w:lineRule="auto"/>
        <w:jc w:val="left"/>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br w:type="page"/>
      </w:r>
      <w:r>
        <w:rPr>
          <w:rFonts w:hint="eastAsia" w:ascii="宋体" w:hAnsi="宋体" w:cs="宋体"/>
          <w:b/>
          <w:bCs/>
          <w:color w:val="auto"/>
          <w:kern w:val="0"/>
          <w:sz w:val="24"/>
          <w:szCs w:val="24"/>
          <w:highlight w:val="none"/>
        </w:rPr>
        <w:t>附录1：</w:t>
      </w:r>
    </w:p>
    <w:p w14:paraId="380E09DB">
      <w:pPr>
        <w:widowControl/>
        <w:shd w:val="clear"/>
        <w:spacing w:line="360" w:lineRule="auto"/>
        <w:jc w:val="left"/>
        <w:rPr>
          <w:rFonts w:ascii="宋体" w:hAnsi="宋体" w:cs="宋体"/>
          <w:b/>
          <w:bCs/>
          <w:color w:val="auto"/>
          <w:kern w:val="0"/>
          <w:sz w:val="24"/>
          <w:szCs w:val="24"/>
          <w:highlight w:val="none"/>
        </w:rPr>
      </w:pPr>
    </w:p>
    <w:p w14:paraId="0E51617D">
      <w:pPr>
        <w:widowControl/>
        <w:shd w:val="clear"/>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投标人诚信承诺书</w:t>
      </w:r>
    </w:p>
    <w:p w14:paraId="7B35F61E">
      <w:pPr>
        <w:widowControl/>
        <w:shd w:val="clear"/>
        <w:spacing w:line="360" w:lineRule="auto"/>
        <w:jc w:val="center"/>
        <w:rPr>
          <w:rFonts w:ascii="宋体" w:hAnsi="宋体" w:cs="宋体"/>
          <w:b/>
          <w:bCs/>
          <w:color w:val="auto"/>
          <w:kern w:val="0"/>
          <w:sz w:val="24"/>
          <w:szCs w:val="24"/>
          <w:highlight w:val="none"/>
        </w:rPr>
      </w:pPr>
    </w:p>
    <w:p w14:paraId="64CEA74F">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我单位参加本次投标，郑重承诺如下：</w:t>
      </w:r>
    </w:p>
    <w:p w14:paraId="6A47D056">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 本次投标提供的所有资料都是真实有效、准确完整的，如发现提供虚假资料或与事实不符，同意取消投标和中标候选人资格。</w:t>
      </w:r>
    </w:p>
    <w:p w14:paraId="441205E2">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2．本次投标绝无资质挂靠、串标、围标情形，若经查证属实，同意取消投标和中标候选人资格。</w:t>
      </w:r>
    </w:p>
    <w:p w14:paraId="548A75B1">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3、本次投标拟派项目人员均是我单位的正式员工，且满足采购文件要求中人员配置要求，如若后期发现人员及业务能力不属，同意取消投标和中标候选人资格。</w:t>
      </w:r>
    </w:p>
    <w:p w14:paraId="65A5A053">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本次招标如我方为中标候选人，除不可抗力外（是指不能预见、不能避免并不能克服的客观情况，包括自然灾害和社会突发事件，如地震、海啸、瘟疫、水灾、骚乱、暴动、战争等），决不因任何其它原因放弃中标候选人资格。</w:t>
      </w:r>
    </w:p>
    <w:p w14:paraId="703A72F1">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5、我方中标后，严格按照招标文件和我单位投标文件的约定签订合同。</w:t>
      </w:r>
    </w:p>
    <w:p w14:paraId="01ED8CA1">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6、我方若达不到招标公告投标人资格要求条件参与投标的，同意视为弄虚作假进行处理。</w:t>
      </w:r>
    </w:p>
    <w:p w14:paraId="75C243C9">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7、我方参加投标存在故意非实质性响应招标文件的（如投标报价</w:t>
      </w:r>
      <w:r>
        <w:rPr>
          <w:rFonts w:hint="eastAsia" w:ascii="宋体" w:hAnsi="宋体" w:cs="宋体"/>
          <w:color w:val="auto"/>
          <w:sz w:val="24"/>
          <w:szCs w:val="24"/>
          <w:highlight w:val="none"/>
          <w:lang w:val="en-US" w:eastAsia="zh-CN"/>
        </w:rPr>
        <w:t>超过</w:t>
      </w:r>
      <w:r>
        <w:rPr>
          <w:rFonts w:hint="eastAsia" w:ascii="宋体" w:hAnsi="宋体" w:cs="宋体"/>
          <w:color w:val="auto"/>
          <w:sz w:val="24"/>
          <w:szCs w:val="24"/>
          <w:highlight w:val="none"/>
        </w:rPr>
        <w:t>该项目最高投标限价等）同意视为串通投标进行处理。</w:t>
      </w:r>
    </w:p>
    <w:p w14:paraId="3D2C4504">
      <w:pPr>
        <w:shd w:val="clea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出现上述情形之一的，我方同意在1至3年内不参与贵单位</w:t>
      </w:r>
      <w:r>
        <w:rPr>
          <w:rFonts w:hint="eastAsia" w:ascii="宋体" w:hAnsi="宋体" w:cs="宋体"/>
          <w:color w:val="auto"/>
          <w:sz w:val="24"/>
          <w:szCs w:val="24"/>
          <w:highlight w:val="none"/>
          <w:lang w:val="en-US" w:eastAsia="zh-CN"/>
        </w:rPr>
        <w:t>招标采购</w:t>
      </w:r>
      <w:r>
        <w:rPr>
          <w:rFonts w:hint="eastAsia" w:ascii="宋体" w:hAnsi="宋体" w:cs="宋体"/>
          <w:color w:val="auto"/>
          <w:sz w:val="24"/>
          <w:szCs w:val="24"/>
          <w:highlight w:val="none"/>
        </w:rPr>
        <w:t>活动，愿意接受处罚并承担所有经济损失和法律责任。</w:t>
      </w:r>
    </w:p>
    <w:p w14:paraId="4D5E84F2">
      <w:pPr>
        <w:widowControl/>
        <w:shd w:val="clear"/>
        <w:spacing w:line="360" w:lineRule="auto"/>
        <w:ind w:firstLine="420"/>
        <w:rPr>
          <w:rFonts w:ascii="宋体" w:hAnsi="宋体" w:cs="宋体"/>
          <w:color w:val="auto"/>
          <w:kern w:val="0"/>
          <w:sz w:val="24"/>
          <w:szCs w:val="24"/>
          <w:highlight w:val="none"/>
        </w:rPr>
      </w:pPr>
    </w:p>
    <w:p w14:paraId="40B158C9">
      <w:pPr>
        <w:widowControl/>
        <w:shd w:val="clear"/>
        <w:spacing w:line="360" w:lineRule="auto"/>
        <w:ind w:right="55" w:firstLine="42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投标人：</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（盖单位章）</w:t>
      </w:r>
    </w:p>
    <w:p w14:paraId="2BC78F68">
      <w:pPr>
        <w:widowControl/>
        <w:shd w:val="clear"/>
        <w:spacing w:line="360" w:lineRule="auto"/>
        <w:ind w:right="420" w:firstLine="42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法定代表人/执行合伙事务的合伙人或其委托代理人：</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（签字或盖章）</w:t>
      </w:r>
    </w:p>
    <w:p w14:paraId="31270F1D">
      <w:pPr>
        <w:widowControl/>
        <w:shd w:val="clear"/>
        <w:spacing w:line="360" w:lineRule="auto"/>
        <w:ind w:firstLine="42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 xml:space="preserve">                                  </w:t>
      </w:r>
    </w:p>
    <w:p w14:paraId="3FEE2A4C">
      <w:pPr>
        <w:shd w:val="clea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 xml:space="preserve">                                                       年    月    日</w:t>
      </w:r>
    </w:p>
    <w:p w14:paraId="400D2A9F">
      <w:pPr>
        <w:shd w:val="clear"/>
        <w:spacing w:line="360" w:lineRule="auto"/>
        <w:rPr>
          <w:rFonts w:ascii="宋体" w:hAnsi="宋体" w:cs="宋体"/>
          <w:color w:val="auto"/>
          <w:szCs w:val="22"/>
          <w:highlight w:val="none"/>
        </w:rPr>
      </w:pPr>
    </w:p>
    <w:p w14:paraId="5AC50546">
      <w:pPr>
        <w:shd w:val="clear"/>
        <w:spacing w:line="360" w:lineRule="auto"/>
        <w:rPr>
          <w:rFonts w:ascii="宋体" w:hAnsi="宋体" w:cs="宋体"/>
          <w:color w:val="auto"/>
          <w:szCs w:val="22"/>
          <w:highlight w:val="none"/>
        </w:rPr>
      </w:pPr>
    </w:p>
    <w:p w14:paraId="0205F0A7">
      <w:pPr>
        <w:shd w:val="clear"/>
        <w:spacing w:line="360" w:lineRule="auto"/>
        <w:rPr>
          <w:rFonts w:ascii="宋体" w:hAnsi="宋体" w:cs="宋体"/>
          <w:color w:val="auto"/>
          <w:szCs w:val="22"/>
          <w:highlight w:val="none"/>
        </w:rPr>
      </w:pPr>
    </w:p>
    <w:bookmarkEnd w:id="316"/>
    <w:p w14:paraId="6A5A8335">
      <w:pPr>
        <w:shd w:val="clear"/>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二、法定代表人身份证明书</w:t>
      </w:r>
    </w:p>
    <w:p w14:paraId="6339A785">
      <w:pPr>
        <w:shd w:val="clear"/>
        <w:spacing w:line="360" w:lineRule="auto"/>
        <w:rPr>
          <w:rFonts w:ascii="宋体" w:hAnsi="宋体" w:cs="宋体"/>
          <w:color w:val="auto"/>
          <w:highlight w:val="none"/>
        </w:rPr>
      </w:pPr>
    </w:p>
    <w:p w14:paraId="7DBFC88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投标人名称</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0BAC98F7">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单位性质</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77AD2BE2">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地址</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5100103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成立时间：</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280850DE">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经营期限</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 xml:space="preserve"> </w:t>
      </w:r>
    </w:p>
    <w:p w14:paraId="1AC92C64">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姓名：</w:t>
      </w:r>
      <w:r>
        <w:rPr>
          <w:rFonts w:hint="eastAsia" w:ascii="宋体" w:hAnsi="宋体" w:cs="宋体"/>
          <w:color w:val="auto"/>
          <w:highlight w:val="none"/>
          <w:u w:val="single"/>
        </w:rPr>
        <w:t xml:space="preserve">           </w:t>
      </w:r>
      <w:r>
        <w:rPr>
          <w:rFonts w:hint="eastAsia" w:ascii="宋体" w:hAnsi="宋体" w:cs="宋体"/>
          <w:color w:val="auto"/>
          <w:highlight w:val="none"/>
        </w:rPr>
        <w:t>性别：</w:t>
      </w:r>
      <w:r>
        <w:rPr>
          <w:rFonts w:hint="eastAsia" w:ascii="宋体" w:hAnsi="宋体" w:cs="宋体"/>
          <w:color w:val="auto"/>
          <w:highlight w:val="none"/>
          <w:u w:val="single"/>
        </w:rPr>
        <w:t xml:space="preserve">        </w:t>
      </w:r>
      <w:r>
        <w:rPr>
          <w:rFonts w:hint="eastAsia" w:ascii="宋体" w:hAnsi="宋体" w:cs="宋体"/>
          <w:color w:val="auto"/>
          <w:highlight w:val="none"/>
        </w:rPr>
        <w:t>年龄：</w:t>
      </w:r>
      <w:r>
        <w:rPr>
          <w:rFonts w:hint="eastAsia" w:ascii="宋体" w:hAnsi="宋体" w:cs="宋体"/>
          <w:color w:val="auto"/>
          <w:highlight w:val="none"/>
          <w:u w:val="single"/>
        </w:rPr>
        <w:t xml:space="preserve">       </w:t>
      </w:r>
      <w:r>
        <w:rPr>
          <w:rFonts w:hint="eastAsia" w:ascii="宋体" w:hAnsi="宋体" w:cs="宋体"/>
          <w:color w:val="auto"/>
          <w:highlight w:val="none"/>
        </w:rPr>
        <w:t>职务：</w:t>
      </w:r>
      <w:r>
        <w:rPr>
          <w:rFonts w:hint="eastAsia" w:ascii="宋体" w:hAnsi="宋体" w:cs="宋体"/>
          <w:color w:val="auto"/>
          <w:highlight w:val="none"/>
          <w:u w:val="single"/>
        </w:rPr>
        <w:t xml:space="preserve">       </w:t>
      </w:r>
      <w:r>
        <w:rPr>
          <w:rFonts w:hint="eastAsia" w:ascii="宋体" w:hAnsi="宋体" w:cs="宋体"/>
          <w:color w:val="auto"/>
          <w:highlight w:val="none"/>
        </w:rPr>
        <w:t>_</w:t>
      </w:r>
    </w:p>
    <w:p w14:paraId="08C93201">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系</w:t>
      </w:r>
      <w:r>
        <w:rPr>
          <w:rFonts w:hint="eastAsia" w:ascii="宋体" w:hAnsi="宋体" w:cs="宋体"/>
          <w:color w:val="auto"/>
          <w:highlight w:val="none"/>
          <w:u w:val="single"/>
        </w:rPr>
        <w:t xml:space="preserve">                                </w:t>
      </w:r>
      <w:r>
        <w:rPr>
          <w:rFonts w:hint="eastAsia" w:ascii="宋体" w:hAnsi="宋体" w:cs="宋体"/>
          <w:color w:val="auto"/>
          <w:highlight w:val="none"/>
        </w:rPr>
        <w:t>（投标人名称）的法定代表人/执行合伙事务的合伙人。</w:t>
      </w:r>
    </w:p>
    <w:p w14:paraId="170C1C02">
      <w:pPr>
        <w:keepNext w:val="0"/>
        <w:keepLines w:val="0"/>
        <w:pageBreakBefore w:val="0"/>
        <w:widowControl w:val="0"/>
        <w:shd w:val="clear"/>
        <w:kinsoku/>
        <w:wordWrap/>
        <w:overflowPunct/>
        <w:topLinePunct w:val="0"/>
        <w:autoSpaceDE/>
        <w:autoSpaceDN/>
        <w:bidi w:val="0"/>
        <w:adjustRightInd/>
        <w:snapToGrid/>
        <w:spacing w:line="360" w:lineRule="auto"/>
        <w:ind w:firstLine="840" w:firstLineChars="400"/>
        <w:textAlignment w:val="auto"/>
        <w:rPr>
          <w:rFonts w:ascii="宋体" w:hAnsi="宋体" w:cs="宋体"/>
          <w:color w:val="auto"/>
          <w:highlight w:val="none"/>
        </w:rPr>
      </w:pPr>
      <w:r>
        <w:rPr>
          <w:rFonts w:hint="eastAsia" w:ascii="宋体" w:hAnsi="宋体" w:cs="宋体"/>
          <w:color w:val="auto"/>
          <w:highlight w:val="none"/>
        </w:rPr>
        <w:t>特此证明。</w:t>
      </w:r>
    </w:p>
    <w:p w14:paraId="3EE0BA8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r>
        <w:rPr>
          <w:rFonts w:hint="eastAsia" w:ascii="宋体" w:hAnsi="宋体" w:cs="宋体"/>
          <w:color w:val="auto"/>
          <w:highlight w:val="none"/>
        </w:rPr>
        <w:t>附：法定代表人/执行合伙事务的合伙人身份证复印件（正反面，加盖单位公章）</w:t>
      </w:r>
    </w:p>
    <w:p w14:paraId="60126FF7">
      <w:pPr>
        <w:keepNext w:val="0"/>
        <w:keepLines w:val="0"/>
        <w:pageBreakBefore w:val="0"/>
        <w:widowControl w:val="0"/>
        <w:shd w:val="clear"/>
        <w:kinsoku/>
        <w:wordWrap/>
        <w:overflowPunct/>
        <w:topLinePunct w:val="0"/>
        <w:autoSpaceDE/>
        <w:autoSpaceDN/>
        <w:bidi w:val="0"/>
        <w:adjustRightInd/>
        <w:snapToGrid/>
        <w:spacing w:line="360" w:lineRule="auto"/>
        <w:ind w:firstLine="840" w:firstLineChars="400"/>
        <w:textAlignment w:val="auto"/>
        <w:rPr>
          <w:rFonts w:ascii="宋体" w:hAnsi="宋体" w:cs="宋体"/>
          <w:color w:val="auto"/>
          <w:highlight w:val="none"/>
        </w:rPr>
      </w:pPr>
    </w:p>
    <w:p w14:paraId="45EB0D8A">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p>
    <w:p w14:paraId="6DEEA65B">
      <w:pPr>
        <w:keepNext w:val="0"/>
        <w:keepLines w:val="0"/>
        <w:pageBreakBefore w:val="0"/>
        <w:widowControl w:val="0"/>
        <w:shd w:val="clear"/>
        <w:kinsoku/>
        <w:wordWrap/>
        <w:overflowPunct/>
        <w:topLinePunct w:val="0"/>
        <w:autoSpaceDE/>
        <w:autoSpaceDN/>
        <w:bidi w:val="0"/>
        <w:adjustRightInd/>
        <w:snapToGrid/>
        <w:spacing w:line="360" w:lineRule="auto"/>
        <w:textAlignment w:val="auto"/>
        <w:rPr>
          <w:rFonts w:ascii="宋体" w:hAnsi="宋体" w:cs="宋体"/>
          <w:color w:val="auto"/>
          <w:highlight w:val="none"/>
        </w:rPr>
      </w:pPr>
    </w:p>
    <w:p w14:paraId="27E03033">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cs="宋体"/>
          <w:color w:val="auto"/>
          <w:highlight w:val="none"/>
        </w:rPr>
      </w:pPr>
    </w:p>
    <w:p w14:paraId="7F63F191">
      <w:pPr>
        <w:keepNext w:val="0"/>
        <w:keepLines w:val="0"/>
        <w:pageBreakBefore w:val="0"/>
        <w:widowControl w:val="0"/>
        <w:shd w:val="clear"/>
        <w:kinsoku/>
        <w:wordWrap/>
        <w:overflowPunct/>
        <w:topLinePunct w:val="0"/>
        <w:autoSpaceDE/>
        <w:autoSpaceDN/>
        <w:bidi w:val="0"/>
        <w:adjustRightInd/>
        <w:snapToGrid/>
        <w:spacing w:line="360" w:lineRule="auto"/>
        <w:ind w:firstLine="3675" w:firstLineChars="1750"/>
        <w:textAlignment w:val="auto"/>
        <w:rPr>
          <w:rFonts w:ascii="宋体" w:hAnsi="宋体" w:cs="宋体"/>
          <w:color w:val="auto"/>
          <w:highlight w:val="none"/>
        </w:rPr>
      </w:pPr>
      <w:r>
        <w:rPr>
          <w:rFonts w:hint="eastAsia" w:ascii="宋体" w:hAnsi="宋体" w:cs="宋体"/>
          <w:color w:val="auto"/>
          <w:highlight w:val="none"/>
        </w:rPr>
        <w:t>投标人：</w:t>
      </w:r>
      <w:r>
        <w:rPr>
          <w:rFonts w:hint="eastAsia" w:ascii="宋体" w:hAnsi="宋体" w:cs="宋体"/>
          <w:color w:val="auto"/>
          <w:highlight w:val="none"/>
          <w:u w:val="single"/>
        </w:rPr>
        <w:t xml:space="preserve">                      </w:t>
      </w:r>
      <w:r>
        <w:rPr>
          <w:rFonts w:hint="eastAsia" w:ascii="宋体" w:hAnsi="宋体" w:cs="宋体"/>
          <w:color w:val="auto"/>
          <w:highlight w:val="none"/>
        </w:rPr>
        <w:t>（盖单位章）</w:t>
      </w:r>
    </w:p>
    <w:p w14:paraId="2A670E36">
      <w:pPr>
        <w:keepNext w:val="0"/>
        <w:keepLines w:val="0"/>
        <w:pageBreakBefore w:val="0"/>
        <w:widowControl w:val="0"/>
        <w:shd w:val="clear"/>
        <w:kinsoku/>
        <w:wordWrap/>
        <w:overflowPunct/>
        <w:topLinePunct w:val="0"/>
        <w:autoSpaceDE/>
        <w:autoSpaceDN/>
        <w:bidi w:val="0"/>
        <w:adjustRightInd/>
        <w:snapToGrid/>
        <w:spacing w:line="360" w:lineRule="auto"/>
        <w:ind w:firstLine="4515" w:firstLineChars="2150"/>
        <w:textAlignment w:val="auto"/>
        <w:rPr>
          <w:rFonts w:ascii="宋体" w:hAnsi="宋体" w:cs="宋体"/>
          <w:color w:val="auto"/>
          <w:highlight w:val="none"/>
          <w:u w:val="single"/>
        </w:rPr>
      </w:pPr>
    </w:p>
    <w:p w14:paraId="06D2BF31">
      <w:pPr>
        <w:keepNext w:val="0"/>
        <w:keepLines w:val="0"/>
        <w:pageBreakBefore w:val="0"/>
        <w:widowControl w:val="0"/>
        <w:shd w:val="clear"/>
        <w:kinsoku/>
        <w:wordWrap/>
        <w:overflowPunct/>
        <w:topLinePunct w:val="0"/>
        <w:autoSpaceDE/>
        <w:autoSpaceDN/>
        <w:bidi w:val="0"/>
        <w:adjustRightInd/>
        <w:snapToGrid/>
        <w:spacing w:line="360" w:lineRule="auto"/>
        <w:ind w:firstLine="4515" w:firstLineChars="2150"/>
        <w:textAlignment w:val="auto"/>
        <w:rPr>
          <w:rFonts w:ascii="宋体" w:hAnsi="宋体" w:cs="宋体"/>
          <w:color w:val="auto"/>
          <w:highlight w:val="none"/>
        </w:rPr>
      </w:pP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4E844B87">
      <w:pPr>
        <w:shd w:val="clear"/>
        <w:spacing w:line="360" w:lineRule="auto"/>
        <w:jc w:val="center"/>
        <w:rPr>
          <w:rFonts w:ascii="宋体" w:hAnsi="宋体" w:cs="宋体"/>
          <w:b/>
          <w:bCs/>
          <w:color w:val="auto"/>
          <w:sz w:val="28"/>
          <w:szCs w:val="28"/>
          <w:highlight w:val="none"/>
        </w:rPr>
      </w:pPr>
    </w:p>
    <w:p w14:paraId="75EC0083">
      <w:pPr>
        <w:shd w:val="clear"/>
        <w:spacing w:line="360" w:lineRule="auto"/>
        <w:jc w:val="center"/>
        <w:rPr>
          <w:rFonts w:ascii="宋体" w:hAnsi="宋体" w:cs="宋体"/>
          <w:b/>
          <w:bCs/>
          <w:color w:val="auto"/>
          <w:sz w:val="28"/>
          <w:szCs w:val="28"/>
          <w:highlight w:val="none"/>
        </w:rPr>
      </w:pPr>
    </w:p>
    <w:p w14:paraId="29EE8E24">
      <w:pPr>
        <w:shd w:val="clear"/>
        <w:spacing w:line="360" w:lineRule="auto"/>
        <w:jc w:val="center"/>
        <w:rPr>
          <w:rFonts w:ascii="宋体" w:hAnsi="宋体" w:cs="宋体"/>
          <w:b/>
          <w:bCs/>
          <w:color w:val="auto"/>
          <w:sz w:val="28"/>
          <w:szCs w:val="28"/>
          <w:highlight w:val="none"/>
        </w:rPr>
      </w:pPr>
    </w:p>
    <w:p w14:paraId="504147E3">
      <w:pPr>
        <w:shd w:val="clear"/>
        <w:spacing w:line="360" w:lineRule="auto"/>
        <w:jc w:val="center"/>
        <w:rPr>
          <w:rFonts w:ascii="宋体" w:hAnsi="宋体" w:cs="宋体"/>
          <w:b/>
          <w:bCs/>
          <w:color w:val="auto"/>
          <w:sz w:val="28"/>
          <w:szCs w:val="28"/>
          <w:highlight w:val="none"/>
        </w:rPr>
      </w:pPr>
    </w:p>
    <w:p w14:paraId="30501716">
      <w:pPr>
        <w:shd w:val="clear"/>
        <w:spacing w:after="120" w:line="360" w:lineRule="auto"/>
        <w:ind w:left="420" w:leftChars="200" w:firstLine="420" w:firstLineChars="200"/>
        <w:rPr>
          <w:rFonts w:ascii="宋体" w:hAnsi="宋体" w:cs="宋体"/>
          <w:color w:val="auto"/>
          <w:szCs w:val="22"/>
          <w:highlight w:val="none"/>
        </w:rPr>
      </w:pPr>
    </w:p>
    <w:p w14:paraId="1B3E42AC">
      <w:pPr>
        <w:shd w:val="clear"/>
        <w:spacing w:line="360" w:lineRule="auto"/>
        <w:jc w:val="center"/>
        <w:rPr>
          <w:rFonts w:ascii="宋体" w:hAnsi="宋体" w:cs="宋体"/>
          <w:b/>
          <w:bCs/>
          <w:color w:val="auto"/>
          <w:sz w:val="28"/>
          <w:szCs w:val="28"/>
          <w:highlight w:val="none"/>
        </w:rPr>
      </w:pPr>
    </w:p>
    <w:p w14:paraId="0AF84DDF">
      <w:pPr>
        <w:shd w:val="clear"/>
        <w:spacing w:line="360" w:lineRule="auto"/>
        <w:jc w:val="center"/>
        <w:rPr>
          <w:rFonts w:ascii="宋体" w:hAnsi="宋体" w:cs="宋体"/>
          <w:b/>
          <w:bCs/>
          <w:color w:val="auto"/>
          <w:sz w:val="28"/>
          <w:szCs w:val="28"/>
          <w:highlight w:val="none"/>
        </w:rPr>
      </w:pPr>
    </w:p>
    <w:p w14:paraId="75957960">
      <w:pPr>
        <w:shd w:val="clear"/>
        <w:spacing w:line="360" w:lineRule="auto"/>
        <w:jc w:val="center"/>
        <w:rPr>
          <w:rFonts w:ascii="宋体" w:hAnsi="宋体" w:cs="宋体"/>
          <w:b/>
          <w:bCs/>
          <w:color w:val="auto"/>
          <w:sz w:val="28"/>
          <w:szCs w:val="28"/>
          <w:highlight w:val="none"/>
        </w:rPr>
      </w:pPr>
    </w:p>
    <w:p w14:paraId="2A2432B3">
      <w:pPr>
        <w:shd w:val="clear"/>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授权委托书</w:t>
      </w:r>
    </w:p>
    <w:p w14:paraId="64744AF9">
      <w:pPr>
        <w:shd w:val="clear"/>
        <w:spacing w:line="360" w:lineRule="auto"/>
        <w:ind w:firstLine="422" w:firstLineChars="200"/>
        <w:rPr>
          <w:rFonts w:ascii="宋体" w:hAnsi="宋体" w:cs="宋体"/>
          <w:b/>
          <w:color w:val="auto"/>
          <w:szCs w:val="22"/>
          <w:highlight w:val="none"/>
        </w:rPr>
      </w:pPr>
    </w:p>
    <w:p w14:paraId="3A1D7579">
      <w:pPr>
        <w:shd w:val="clear"/>
        <w:spacing w:line="360" w:lineRule="auto"/>
        <w:ind w:firstLine="420" w:firstLineChars="200"/>
        <w:rPr>
          <w:rFonts w:ascii="宋体" w:hAnsi="宋体" w:cs="宋体"/>
          <w:bCs/>
          <w:color w:val="auto"/>
          <w:szCs w:val="22"/>
          <w:highlight w:val="none"/>
        </w:rPr>
      </w:pPr>
      <w:r>
        <w:rPr>
          <w:rFonts w:hint="eastAsia" w:ascii="宋体" w:hAnsi="宋体" w:cs="宋体"/>
          <w:bCs/>
          <w:color w:val="auto"/>
          <w:szCs w:val="22"/>
          <w:highlight w:val="none"/>
        </w:rPr>
        <w:t>本人</w:t>
      </w:r>
      <w:r>
        <w:rPr>
          <w:rFonts w:hint="eastAsia" w:ascii="宋体" w:hAnsi="宋体" w:cs="宋体"/>
          <w:bCs/>
          <w:color w:val="auto"/>
          <w:szCs w:val="22"/>
          <w:highlight w:val="none"/>
          <w:u w:val="single"/>
        </w:rPr>
        <w:t xml:space="preserve">      </w:t>
      </w:r>
      <w:r>
        <w:rPr>
          <w:rFonts w:hint="eastAsia" w:ascii="宋体" w:hAnsi="宋体" w:cs="宋体"/>
          <w:bCs/>
          <w:color w:val="auto"/>
          <w:szCs w:val="22"/>
          <w:highlight w:val="none"/>
        </w:rPr>
        <w:t>（姓名）系</w:t>
      </w:r>
      <w:r>
        <w:rPr>
          <w:rFonts w:hint="eastAsia" w:ascii="宋体" w:hAnsi="宋体" w:cs="宋体"/>
          <w:bCs/>
          <w:color w:val="auto"/>
          <w:szCs w:val="22"/>
          <w:highlight w:val="none"/>
          <w:u w:val="single"/>
        </w:rPr>
        <w:t xml:space="preserve">                </w:t>
      </w:r>
      <w:r>
        <w:rPr>
          <w:rFonts w:hint="eastAsia" w:ascii="宋体" w:hAnsi="宋体" w:cs="宋体"/>
          <w:bCs/>
          <w:color w:val="auto"/>
          <w:szCs w:val="22"/>
          <w:highlight w:val="none"/>
        </w:rPr>
        <w:t>（投标人名称）的法定代表人/执行合伙事务的合伙人，现委托</w:t>
      </w:r>
      <w:r>
        <w:rPr>
          <w:rFonts w:hint="eastAsia" w:ascii="宋体" w:hAnsi="宋体" w:cs="宋体"/>
          <w:bCs/>
          <w:color w:val="auto"/>
          <w:szCs w:val="22"/>
          <w:highlight w:val="none"/>
          <w:u w:val="single"/>
        </w:rPr>
        <w:t xml:space="preserve">       </w:t>
      </w:r>
      <w:r>
        <w:rPr>
          <w:rFonts w:hint="eastAsia" w:ascii="宋体" w:hAnsi="宋体" w:cs="宋体"/>
          <w:bCs/>
          <w:color w:val="auto"/>
          <w:szCs w:val="22"/>
          <w:highlight w:val="none"/>
        </w:rPr>
        <w:t>（姓名）为我方代理人。代理人根据授权，以我方名义签署、澄清、说明、补正、递交、撤回、修改</w:t>
      </w:r>
      <w:r>
        <w:rPr>
          <w:rFonts w:hint="eastAsia" w:ascii="宋体" w:hAnsi="宋体" w:cs="宋体"/>
          <w:bCs/>
          <w:color w:val="auto"/>
          <w:szCs w:val="22"/>
          <w:highlight w:val="none"/>
          <w:u w:val="single"/>
        </w:rPr>
        <w:t xml:space="preserve">       </w:t>
      </w:r>
      <w:r>
        <w:rPr>
          <w:rFonts w:hint="eastAsia" w:ascii="宋体" w:hAnsi="宋体" w:cs="宋体"/>
          <w:bCs/>
          <w:color w:val="auto"/>
          <w:szCs w:val="22"/>
          <w:highlight w:val="none"/>
        </w:rPr>
        <w:t>（项目名称/标段）投标文件、签订合同和处理有关事宜，其法律后果由我方承担。</w:t>
      </w:r>
    </w:p>
    <w:p w14:paraId="02339D63">
      <w:pPr>
        <w:shd w:val="clear"/>
        <w:spacing w:line="360" w:lineRule="auto"/>
        <w:ind w:firstLine="420" w:firstLineChars="200"/>
        <w:rPr>
          <w:rFonts w:ascii="宋体" w:hAnsi="宋体" w:cs="宋体"/>
          <w:bCs/>
          <w:color w:val="auto"/>
          <w:szCs w:val="22"/>
          <w:highlight w:val="none"/>
          <w:u w:val="single"/>
        </w:rPr>
      </w:pPr>
      <w:r>
        <w:rPr>
          <w:rFonts w:hint="eastAsia" w:ascii="宋体" w:hAnsi="宋体" w:cs="宋体"/>
          <w:bCs/>
          <w:color w:val="auto"/>
          <w:szCs w:val="22"/>
          <w:highlight w:val="none"/>
        </w:rPr>
        <w:t>委托期限：</w:t>
      </w:r>
      <w:r>
        <w:rPr>
          <w:rFonts w:hint="eastAsia" w:ascii="宋体" w:hAnsi="宋体" w:cs="宋体"/>
          <w:bCs/>
          <w:color w:val="auto"/>
          <w:szCs w:val="22"/>
          <w:highlight w:val="none"/>
          <w:u w:val="single"/>
        </w:rPr>
        <w:t xml:space="preserve">                                 </w:t>
      </w:r>
      <w:r>
        <w:rPr>
          <w:rFonts w:hint="eastAsia" w:ascii="宋体" w:hAnsi="宋体" w:cs="宋体"/>
          <w:bCs/>
          <w:color w:val="auto"/>
          <w:szCs w:val="22"/>
          <w:highlight w:val="none"/>
        </w:rPr>
        <w:t>；</w:t>
      </w:r>
    </w:p>
    <w:p w14:paraId="334EF9D0">
      <w:pPr>
        <w:shd w:val="clear"/>
        <w:spacing w:line="360" w:lineRule="auto"/>
        <w:ind w:firstLine="420" w:firstLineChars="200"/>
        <w:rPr>
          <w:rFonts w:ascii="宋体" w:hAnsi="宋体" w:cs="宋体"/>
          <w:bCs/>
          <w:color w:val="auto"/>
          <w:szCs w:val="22"/>
          <w:highlight w:val="none"/>
        </w:rPr>
      </w:pPr>
      <w:r>
        <w:rPr>
          <w:rFonts w:hint="eastAsia" w:ascii="宋体" w:hAnsi="宋体" w:cs="宋体"/>
          <w:bCs/>
          <w:color w:val="auto"/>
          <w:szCs w:val="22"/>
          <w:highlight w:val="none"/>
        </w:rPr>
        <w:t>代理人无转委托权。</w:t>
      </w:r>
    </w:p>
    <w:p w14:paraId="5E1FA26B">
      <w:pPr>
        <w:shd w:val="clear"/>
        <w:spacing w:after="156" w:line="360" w:lineRule="auto"/>
        <w:ind w:firstLine="420" w:firstLineChars="200"/>
        <w:rPr>
          <w:rFonts w:ascii="宋体" w:hAnsi="宋体" w:cs="宋体"/>
          <w:bCs/>
          <w:color w:val="auto"/>
          <w:szCs w:val="22"/>
          <w:highlight w:val="none"/>
        </w:rPr>
      </w:pPr>
      <w:r>
        <w:rPr>
          <w:rFonts w:hint="eastAsia" w:ascii="宋体" w:hAnsi="宋体" w:cs="宋体"/>
          <w:bCs/>
          <w:color w:val="auto"/>
          <w:szCs w:val="22"/>
          <w:highlight w:val="none"/>
        </w:rPr>
        <w:t xml:space="preserve"> 附：授权委托人的人身份证复印件（正反两面，加盖单位公章）</w:t>
      </w:r>
    </w:p>
    <w:p w14:paraId="3F2528D2">
      <w:pPr>
        <w:shd w:val="clear"/>
        <w:spacing w:line="360" w:lineRule="auto"/>
        <w:ind w:firstLine="420" w:firstLineChars="200"/>
        <w:rPr>
          <w:rFonts w:ascii="宋体" w:hAnsi="宋体" w:cs="宋体"/>
          <w:bCs/>
          <w:color w:val="auto"/>
          <w:szCs w:val="22"/>
          <w:highlight w:val="none"/>
        </w:rPr>
      </w:pPr>
    </w:p>
    <w:p w14:paraId="1C9A0D44">
      <w:pPr>
        <w:shd w:val="clear"/>
        <w:spacing w:line="360" w:lineRule="auto"/>
        <w:ind w:firstLine="420" w:firstLineChars="200"/>
        <w:rPr>
          <w:rFonts w:ascii="宋体" w:hAnsi="宋体" w:cs="宋体"/>
          <w:bCs/>
          <w:color w:val="auto"/>
          <w:szCs w:val="22"/>
          <w:highlight w:val="none"/>
        </w:rPr>
      </w:pPr>
    </w:p>
    <w:p w14:paraId="2058FF64">
      <w:pPr>
        <w:shd w:val="clear"/>
        <w:spacing w:line="360" w:lineRule="auto"/>
        <w:ind w:firstLine="420" w:firstLineChars="200"/>
        <w:rPr>
          <w:rFonts w:ascii="宋体" w:hAnsi="宋体" w:cs="宋体"/>
          <w:bCs/>
          <w:color w:val="auto"/>
          <w:szCs w:val="22"/>
          <w:highlight w:val="none"/>
        </w:rPr>
      </w:pPr>
    </w:p>
    <w:p w14:paraId="306271D6">
      <w:pPr>
        <w:shd w:val="clear"/>
        <w:spacing w:line="360" w:lineRule="auto"/>
        <w:ind w:firstLine="420" w:firstLineChars="200"/>
        <w:rPr>
          <w:rFonts w:ascii="宋体" w:hAnsi="宋体" w:cs="宋体"/>
          <w:color w:val="auto"/>
          <w:szCs w:val="22"/>
          <w:highlight w:val="none"/>
        </w:rPr>
      </w:pPr>
    </w:p>
    <w:p w14:paraId="11B9247B">
      <w:pPr>
        <w:shd w:val="clear"/>
        <w:spacing w:line="360" w:lineRule="auto"/>
        <w:ind w:firstLine="420" w:firstLineChars="200"/>
        <w:jc w:val="right"/>
        <w:rPr>
          <w:rFonts w:ascii="宋体" w:hAnsi="宋体" w:cs="宋体"/>
          <w:color w:val="auto"/>
          <w:szCs w:val="22"/>
          <w:highlight w:val="none"/>
        </w:rPr>
      </w:pPr>
      <w:r>
        <w:rPr>
          <w:rFonts w:hint="eastAsia" w:ascii="宋体" w:hAnsi="宋体" w:cs="宋体"/>
          <w:color w:val="auto"/>
          <w:szCs w:val="22"/>
          <w:highlight w:val="none"/>
        </w:rPr>
        <w:t>投标人：</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（盖单位章）</w:t>
      </w:r>
    </w:p>
    <w:p w14:paraId="7CA46DB5">
      <w:pPr>
        <w:shd w:val="clear"/>
        <w:spacing w:line="360" w:lineRule="auto"/>
        <w:ind w:firstLine="420" w:firstLineChars="200"/>
        <w:rPr>
          <w:rFonts w:ascii="宋体" w:hAnsi="宋体" w:cs="宋体"/>
          <w:color w:val="auto"/>
          <w:szCs w:val="22"/>
          <w:highlight w:val="none"/>
        </w:rPr>
      </w:pPr>
    </w:p>
    <w:p w14:paraId="599C86E4">
      <w:pPr>
        <w:shd w:val="clear"/>
        <w:spacing w:line="360" w:lineRule="auto"/>
        <w:ind w:firstLine="420" w:firstLineChars="200"/>
        <w:jc w:val="right"/>
        <w:rPr>
          <w:rFonts w:ascii="宋体" w:hAnsi="宋体" w:cs="宋体"/>
          <w:color w:val="auto"/>
          <w:szCs w:val="22"/>
          <w:highlight w:val="none"/>
        </w:rPr>
      </w:pPr>
      <w:r>
        <w:rPr>
          <w:rFonts w:hint="eastAsia" w:ascii="宋体" w:hAnsi="宋体" w:cs="宋体"/>
          <w:color w:val="auto"/>
          <w:szCs w:val="22"/>
          <w:highlight w:val="none"/>
        </w:rPr>
        <w:t>法定代表人/执行合伙事务的合伙人：</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（签字或盖章）       </w:t>
      </w:r>
    </w:p>
    <w:p w14:paraId="77E848CB">
      <w:pPr>
        <w:shd w:val="clear"/>
        <w:spacing w:line="360" w:lineRule="auto"/>
        <w:ind w:firstLine="420" w:firstLineChars="200"/>
        <w:rPr>
          <w:rFonts w:ascii="宋体" w:hAnsi="宋体" w:cs="宋体"/>
          <w:color w:val="auto"/>
          <w:szCs w:val="22"/>
          <w:highlight w:val="none"/>
        </w:rPr>
      </w:pPr>
    </w:p>
    <w:p w14:paraId="468AE39C">
      <w:pPr>
        <w:shd w:val="clear"/>
        <w:spacing w:line="360" w:lineRule="auto"/>
        <w:ind w:firstLine="420" w:firstLineChars="200"/>
        <w:jc w:val="right"/>
        <w:rPr>
          <w:rFonts w:ascii="宋体" w:hAnsi="宋体" w:cs="宋体"/>
          <w:color w:val="auto"/>
          <w:szCs w:val="22"/>
          <w:highlight w:val="none"/>
        </w:rPr>
      </w:pPr>
      <w:r>
        <w:rPr>
          <w:rFonts w:hint="eastAsia" w:ascii="宋体" w:hAnsi="宋体" w:cs="宋体"/>
          <w:color w:val="auto"/>
          <w:szCs w:val="22"/>
          <w:highlight w:val="none"/>
        </w:rPr>
        <w:t>联系电话：</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w:t>
      </w:r>
      <w:r>
        <w:rPr>
          <w:rFonts w:hint="eastAsia" w:ascii="宋体" w:hAnsi="宋体" w:cs="宋体"/>
          <w:color w:val="auto"/>
          <w:szCs w:val="22"/>
          <w:highlight w:val="none"/>
          <w:u w:val="single"/>
        </w:rPr>
        <w:t xml:space="preserve">                              </w:t>
      </w:r>
    </w:p>
    <w:p w14:paraId="49300F96">
      <w:pPr>
        <w:shd w:val="clear"/>
        <w:spacing w:line="360" w:lineRule="auto"/>
        <w:ind w:firstLine="420" w:firstLineChars="200"/>
        <w:rPr>
          <w:rFonts w:ascii="宋体" w:hAnsi="宋体" w:cs="宋体"/>
          <w:color w:val="auto"/>
          <w:szCs w:val="22"/>
          <w:highlight w:val="none"/>
        </w:rPr>
      </w:pPr>
    </w:p>
    <w:p w14:paraId="093E3EA2">
      <w:pPr>
        <w:shd w:val="clear"/>
        <w:spacing w:line="360" w:lineRule="auto"/>
        <w:ind w:firstLine="420" w:firstLineChars="200"/>
        <w:jc w:val="right"/>
        <w:rPr>
          <w:rFonts w:ascii="宋体" w:hAnsi="宋体" w:cs="宋体"/>
          <w:color w:val="auto"/>
          <w:szCs w:val="22"/>
          <w:highlight w:val="none"/>
        </w:rPr>
      </w:pPr>
      <w:r>
        <w:rPr>
          <w:rFonts w:hint="eastAsia" w:ascii="宋体" w:hAnsi="宋体" w:cs="宋体"/>
          <w:color w:val="auto"/>
          <w:szCs w:val="22"/>
          <w:highlight w:val="none"/>
        </w:rPr>
        <w:t>委托代理人：</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（签字或盖章）</w:t>
      </w:r>
    </w:p>
    <w:p w14:paraId="713EF96A">
      <w:pPr>
        <w:shd w:val="clear"/>
        <w:spacing w:line="360" w:lineRule="auto"/>
        <w:ind w:firstLine="420" w:firstLineChars="200"/>
        <w:rPr>
          <w:rFonts w:ascii="宋体" w:hAnsi="宋体" w:cs="宋体"/>
          <w:color w:val="auto"/>
          <w:szCs w:val="22"/>
          <w:highlight w:val="none"/>
        </w:rPr>
      </w:pPr>
    </w:p>
    <w:p w14:paraId="12797DAF">
      <w:pPr>
        <w:shd w:val="clear"/>
        <w:spacing w:line="360" w:lineRule="auto"/>
        <w:ind w:firstLine="420" w:firstLineChars="200"/>
        <w:jc w:val="right"/>
        <w:rPr>
          <w:rFonts w:ascii="宋体" w:hAnsi="宋体" w:cs="宋体"/>
          <w:color w:val="auto"/>
          <w:szCs w:val="22"/>
          <w:highlight w:val="none"/>
        </w:rPr>
      </w:pPr>
      <w:r>
        <w:rPr>
          <w:rFonts w:hint="eastAsia" w:ascii="宋体" w:hAnsi="宋体" w:cs="宋体"/>
          <w:color w:val="auto"/>
          <w:szCs w:val="22"/>
          <w:highlight w:val="none"/>
        </w:rPr>
        <w:t>联系电话：</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 xml:space="preserve">；                                 </w:t>
      </w:r>
    </w:p>
    <w:p w14:paraId="2A8DC9CE">
      <w:pPr>
        <w:shd w:val="clear"/>
        <w:spacing w:line="360" w:lineRule="auto"/>
        <w:ind w:firstLine="5040" w:firstLineChars="2400"/>
        <w:rPr>
          <w:rFonts w:ascii="宋体" w:hAnsi="宋体" w:cs="宋体"/>
          <w:color w:val="auto"/>
          <w:szCs w:val="22"/>
          <w:highlight w:val="none"/>
        </w:rPr>
      </w:pPr>
      <w:r>
        <w:rPr>
          <w:rFonts w:hint="eastAsia" w:ascii="宋体" w:hAnsi="宋体" w:cs="宋体"/>
          <w:color w:val="auto"/>
          <w:szCs w:val="22"/>
          <w:highlight w:val="none"/>
        </w:rPr>
        <w:t xml:space="preserve">                    </w:t>
      </w:r>
    </w:p>
    <w:p w14:paraId="405A1A51">
      <w:pPr>
        <w:shd w:val="clear"/>
        <w:jc w:val="right"/>
        <w:rPr>
          <w:rFonts w:ascii="宋体" w:hAnsi="宋体" w:cs="宋体"/>
          <w:b/>
          <w:color w:val="auto"/>
          <w:kern w:val="0"/>
          <w:sz w:val="28"/>
          <w:szCs w:val="28"/>
          <w:highlight w:val="none"/>
        </w:rPr>
      </w:pPr>
      <w:r>
        <w:rPr>
          <w:rFonts w:hint="eastAsia" w:ascii="宋体" w:hAnsi="宋体" w:cs="宋体"/>
          <w:color w:val="auto"/>
          <w:szCs w:val="22"/>
          <w:highlight w:val="none"/>
        </w:rPr>
        <w:t xml:space="preserve"> </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年</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月</w:t>
      </w:r>
      <w:r>
        <w:rPr>
          <w:rFonts w:hint="eastAsia" w:ascii="宋体" w:hAnsi="宋体" w:cs="宋体"/>
          <w:color w:val="auto"/>
          <w:szCs w:val="22"/>
          <w:highlight w:val="none"/>
          <w:u w:val="single"/>
        </w:rPr>
        <w:t xml:space="preserve">    </w:t>
      </w:r>
      <w:r>
        <w:rPr>
          <w:rFonts w:hint="eastAsia" w:ascii="宋体" w:hAnsi="宋体" w:cs="宋体"/>
          <w:color w:val="auto"/>
          <w:szCs w:val="22"/>
          <w:highlight w:val="none"/>
        </w:rPr>
        <w:t>日</w:t>
      </w:r>
    </w:p>
    <w:p w14:paraId="3723BA7A">
      <w:pPr>
        <w:widowControl/>
        <w:shd w:val="clear"/>
        <w:spacing w:line="360" w:lineRule="auto"/>
        <w:jc w:val="center"/>
        <w:rPr>
          <w:rFonts w:ascii="宋体" w:hAnsi="宋体" w:cs="宋体"/>
          <w:b/>
          <w:color w:val="auto"/>
          <w:kern w:val="0"/>
          <w:sz w:val="28"/>
          <w:szCs w:val="28"/>
          <w:highlight w:val="none"/>
        </w:rPr>
      </w:pPr>
    </w:p>
    <w:p w14:paraId="4C2CBE31">
      <w:pPr>
        <w:widowControl/>
        <w:shd w:val="clear"/>
        <w:spacing w:line="360" w:lineRule="auto"/>
        <w:jc w:val="center"/>
        <w:rPr>
          <w:rFonts w:hint="eastAsia" w:ascii="宋体" w:hAnsi="宋体" w:cs="宋体"/>
          <w:b/>
          <w:color w:val="auto"/>
          <w:kern w:val="0"/>
          <w:sz w:val="28"/>
          <w:szCs w:val="28"/>
          <w:highlight w:val="none"/>
        </w:rPr>
      </w:pPr>
    </w:p>
    <w:p w14:paraId="3117FC03">
      <w:pPr>
        <w:widowControl/>
        <w:shd w:val="clear"/>
        <w:spacing w:line="360" w:lineRule="auto"/>
        <w:jc w:val="center"/>
        <w:rPr>
          <w:rFonts w:ascii="宋体" w:hAnsi="宋体" w:cs="宋体"/>
          <w:bCs/>
          <w:color w:val="auto"/>
          <w:kern w:val="0"/>
          <w:sz w:val="24"/>
          <w:szCs w:val="24"/>
          <w:highlight w:val="none"/>
        </w:rPr>
      </w:pPr>
      <w:r>
        <w:rPr>
          <w:rFonts w:hint="eastAsia" w:ascii="宋体" w:hAnsi="宋体" w:cs="宋体"/>
          <w:b/>
          <w:color w:val="auto"/>
          <w:kern w:val="0"/>
          <w:sz w:val="28"/>
          <w:szCs w:val="28"/>
          <w:highlight w:val="none"/>
        </w:rPr>
        <w:t>三、投标人企业简介</w:t>
      </w:r>
    </w:p>
    <w:p w14:paraId="5F7870AD">
      <w:pPr>
        <w:shd w:val="clear"/>
        <w:spacing w:line="360" w:lineRule="auto"/>
        <w:jc w:val="center"/>
        <w:rPr>
          <w:rFonts w:ascii="宋体" w:hAnsi="宋体" w:cs="宋体"/>
          <w:b w:val="0"/>
          <w:bCs/>
          <w:color w:val="auto"/>
          <w:sz w:val="24"/>
          <w:szCs w:val="24"/>
          <w:highlight w:val="none"/>
        </w:rPr>
      </w:pPr>
      <w:r>
        <w:rPr>
          <w:rFonts w:hint="eastAsia" w:ascii="宋体" w:hAnsi="宋体" w:cs="宋体"/>
          <w:b w:val="0"/>
          <w:bCs/>
          <w:color w:val="auto"/>
          <w:sz w:val="24"/>
          <w:szCs w:val="24"/>
          <w:highlight w:val="none"/>
        </w:rPr>
        <w:t>（</w:t>
      </w:r>
      <w:r>
        <w:rPr>
          <w:rFonts w:hint="eastAsia" w:ascii="宋体" w:hAnsi="宋体" w:cs="宋体"/>
          <w:b w:val="0"/>
          <w:bCs/>
          <w:color w:val="auto"/>
          <w:sz w:val="24"/>
          <w:szCs w:val="22"/>
          <w:highlight w:val="none"/>
        </w:rPr>
        <w:t>投标人可自行制作格式，应尽可能多的提供可以证明本企业综合实力的相关材料</w:t>
      </w:r>
      <w:r>
        <w:rPr>
          <w:rFonts w:hint="eastAsia" w:ascii="宋体" w:hAnsi="宋体" w:cs="宋体"/>
          <w:b w:val="0"/>
          <w:bCs/>
          <w:color w:val="auto"/>
          <w:sz w:val="24"/>
          <w:szCs w:val="24"/>
          <w:highlight w:val="none"/>
        </w:rPr>
        <w:t>）</w:t>
      </w:r>
    </w:p>
    <w:p w14:paraId="50F2F3AC">
      <w:pPr>
        <w:shd w:val="clear"/>
        <w:spacing w:after="120" w:line="360" w:lineRule="auto"/>
        <w:ind w:left="420" w:leftChars="200" w:firstLine="420" w:firstLineChars="200"/>
        <w:rPr>
          <w:rFonts w:ascii="宋体" w:hAnsi="宋体" w:cs="宋体"/>
          <w:color w:val="auto"/>
          <w:szCs w:val="22"/>
          <w:highlight w:val="none"/>
        </w:rPr>
      </w:pPr>
    </w:p>
    <w:p w14:paraId="26394FF9">
      <w:pPr>
        <w:shd w:val="clear"/>
        <w:tabs>
          <w:tab w:val="left" w:pos="420"/>
          <w:tab w:val="left" w:pos="4200"/>
        </w:tabs>
        <w:spacing w:line="360" w:lineRule="auto"/>
        <w:jc w:val="center"/>
        <w:rPr>
          <w:rFonts w:ascii="宋体" w:hAnsi="宋体" w:cs="宋体"/>
          <w:b/>
          <w:color w:val="auto"/>
          <w:sz w:val="28"/>
          <w:szCs w:val="28"/>
          <w:highlight w:val="none"/>
        </w:rPr>
      </w:pPr>
    </w:p>
    <w:p w14:paraId="0CA43120">
      <w:pPr>
        <w:shd w:val="clear"/>
        <w:tabs>
          <w:tab w:val="left" w:pos="420"/>
          <w:tab w:val="left" w:pos="4200"/>
        </w:tabs>
        <w:spacing w:line="360" w:lineRule="auto"/>
        <w:jc w:val="center"/>
        <w:rPr>
          <w:rFonts w:ascii="宋体" w:hAnsi="宋体" w:cs="宋体"/>
          <w:b/>
          <w:color w:val="auto"/>
          <w:sz w:val="28"/>
          <w:szCs w:val="28"/>
          <w:highlight w:val="none"/>
        </w:rPr>
      </w:pPr>
    </w:p>
    <w:p w14:paraId="0D79F59A">
      <w:pPr>
        <w:shd w:val="clear"/>
        <w:tabs>
          <w:tab w:val="left" w:pos="420"/>
          <w:tab w:val="left" w:pos="4200"/>
        </w:tabs>
        <w:spacing w:line="360" w:lineRule="auto"/>
        <w:jc w:val="center"/>
        <w:rPr>
          <w:rFonts w:ascii="宋体" w:hAnsi="宋体" w:cs="宋体"/>
          <w:b/>
          <w:color w:val="auto"/>
          <w:sz w:val="28"/>
          <w:szCs w:val="28"/>
          <w:highlight w:val="none"/>
        </w:rPr>
      </w:pPr>
    </w:p>
    <w:p w14:paraId="17A4D572">
      <w:pPr>
        <w:shd w:val="clear"/>
        <w:tabs>
          <w:tab w:val="left" w:pos="420"/>
          <w:tab w:val="left" w:pos="4200"/>
        </w:tabs>
        <w:spacing w:line="360" w:lineRule="auto"/>
        <w:jc w:val="center"/>
        <w:rPr>
          <w:rFonts w:ascii="宋体" w:hAnsi="宋体" w:cs="宋体"/>
          <w:b/>
          <w:color w:val="auto"/>
          <w:sz w:val="28"/>
          <w:szCs w:val="28"/>
          <w:highlight w:val="none"/>
        </w:rPr>
      </w:pPr>
    </w:p>
    <w:p w14:paraId="0EF02FFF">
      <w:pPr>
        <w:shd w:val="clear"/>
        <w:tabs>
          <w:tab w:val="left" w:pos="420"/>
          <w:tab w:val="left" w:pos="4200"/>
        </w:tabs>
        <w:spacing w:line="360" w:lineRule="auto"/>
        <w:jc w:val="center"/>
        <w:rPr>
          <w:rFonts w:ascii="宋体" w:hAnsi="宋体" w:cs="宋体"/>
          <w:b/>
          <w:color w:val="auto"/>
          <w:sz w:val="28"/>
          <w:szCs w:val="28"/>
          <w:highlight w:val="none"/>
        </w:rPr>
      </w:pPr>
    </w:p>
    <w:p w14:paraId="0EBB0E45">
      <w:pPr>
        <w:shd w:val="clear"/>
        <w:tabs>
          <w:tab w:val="left" w:pos="420"/>
          <w:tab w:val="left" w:pos="4200"/>
        </w:tabs>
        <w:spacing w:line="360" w:lineRule="auto"/>
        <w:jc w:val="center"/>
        <w:rPr>
          <w:rFonts w:ascii="宋体" w:hAnsi="宋体" w:cs="宋体"/>
          <w:b/>
          <w:color w:val="auto"/>
          <w:sz w:val="28"/>
          <w:szCs w:val="28"/>
          <w:highlight w:val="none"/>
        </w:rPr>
      </w:pPr>
    </w:p>
    <w:p w14:paraId="2935A67B">
      <w:pPr>
        <w:shd w:val="clear"/>
        <w:tabs>
          <w:tab w:val="left" w:pos="420"/>
          <w:tab w:val="left" w:pos="4200"/>
        </w:tabs>
        <w:spacing w:line="360" w:lineRule="auto"/>
        <w:rPr>
          <w:rFonts w:ascii="宋体" w:hAnsi="宋体" w:cs="宋体"/>
          <w:b/>
          <w:bCs/>
          <w:color w:val="auto"/>
          <w:spacing w:val="36"/>
          <w:sz w:val="28"/>
          <w:szCs w:val="28"/>
          <w:highlight w:val="none"/>
        </w:rPr>
      </w:pPr>
    </w:p>
    <w:p w14:paraId="63665AE6">
      <w:pPr>
        <w:shd w:val="clear"/>
        <w:spacing w:after="120" w:line="360" w:lineRule="auto"/>
        <w:ind w:left="420" w:leftChars="200" w:firstLine="706" w:firstLineChars="200"/>
        <w:rPr>
          <w:rFonts w:ascii="宋体" w:hAnsi="宋体" w:cs="宋体"/>
          <w:b/>
          <w:bCs/>
          <w:color w:val="auto"/>
          <w:spacing w:val="36"/>
          <w:sz w:val="28"/>
          <w:szCs w:val="28"/>
          <w:highlight w:val="none"/>
        </w:rPr>
      </w:pPr>
    </w:p>
    <w:p w14:paraId="35BF1B8A">
      <w:pPr>
        <w:shd w:val="clear"/>
        <w:spacing w:after="120" w:line="360" w:lineRule="auto"/>
        <w:rPr>
          <w:rFonts w:ascii="宋体" w:hAnsi="宋体" w:cs="宋体"/>
          <w:b/>
          <w:bCs/>
          <w:color w:val="auto"/>
          <w:spacing w:val="36"/>
          <w:sz w:val="24"/>
          <w:szCs w:val="24"/>
          <w:highlight w:val="none"/>
        </w:rPr>
      </w:pPr>
    </w:p>
    <w:p w14:paraId="6D4B9640">
      <w:pPr>
        <w:shd w:val="clear"/>
        <w:spacing w:after="120" w:line="360" w:lineRule="auto"/>
        <w:rPr>
          <w:rFonts w:ascii="宋体" w:hAnsi="宋体" w:cs="宋体"/>
          <w:b/>
          <w:bCs/>
          <w:color w:val="auto"/>
          <w:spacing w:val="36"/>
          <w:sz w:val="24"/>
          <w:szCs w:val="24"/>
          <w:highlight w:val="none"/>
        </w:rPr>
      </w:pPr>
    </w:p>
    <w:p w14:paraId="3389558E">
      <w:pPr>
        <w:shd w:val="clear"/>
        <w:spacing w:after="120" w:line="360" w:lineRule="auto"/>
        <w:rPr>
          <w:rFonts w:ascii="宋体" w:hAnsi="宋体" w:cs="宋体"/>
          <w:b/>
          <w:bCs/>
          <w:color w:val="auto"/>
          <w:spacing w:val="36"/>
          <w:sz w:val="24"/>
          <w:szCs w:val="24"/>
          <w:highlight w:val="none"/>
        </w:rPr>
      </w:pPr>
    </w:p>
    <w:p w14:paraId="0313AAD3">
      <w:pPr>
        <w:shd w:val="clear"/>
        <w:spacing w:after="120" w:line="360" w:lineRule="auto"/>
        <w:rPr>
          <w:rFonts w:ascii="宋体" w:hAnsi="宋体" w:cs="宋体"/>
          <w:b/>
          <w:bCs/>
          <w:color w:val="auto"/>
          <w:spacing w:val="36"/>
          <w:sz w:val="24"/>
          <w:szCs w:val="24"/>
          <w:highlight w:val="none"/>
        </w:rPr>
      </w:pPr>
    </w:p>
    <w:p w14:paraId="25B9A5F6">
      <w:pPr>
        <w:shd w:val="clear"/>
        <w:spacing w:after="120" w:line="360" w:lineRule="auto"/>
        <w:ind w:left="420" w:leftChars="200" w:firstLine="626" w:firstLineChars="200"/>
        <w:rPr>
          <w:rFonts w:ascii="宋体" w:hAnsi="宋体" w:cs="宋体"/>
          <w:b/>
          <w:bCs/>
          <w:color w:val="auto"/>
          <w:spacing w:val="36"/>
          <w:sz w:val="24"/>
          <w:szCs w:val="24"/>
          <w:highlight w:val="none"/>
        </w:rPr>
      </w:pPr>
    </w:p>
    <w:p w14:paraId="649A5A84">
      <w:pPr>
        <w:shd w:val="clear"/>
        <w:spacing w:after="120" w:line="360" w:lineRule="auto"/>
        <w:ind w:left="420" w:leftChars="200" w:firstLine="420" w:firstLineChars="200"/>
        <w:rPr>
          <w:rFonts w:ascii="宋体" w:hAnsi="宋体" w:cs="宋体"/>
          <w:color w:val="auto"/>
          <w:szCs w:val="22"/>
          <w:highlight w:val="none"/>
        </w:rPr>
      </w:pPr>
    </w:p>
    <w:p w14:paraId="35F94966">
      <w:pPr>
        <w:shd w:val="clear"/>
        <w:spacing w:line="360" w:lineRule="auto"/>
        <w:jc w:val="center"/>
        <w:rPr>
          <w:rFonts w:ascii="宋体" w:hAnsi="宋体" w:cs="宋体"/>
          <w:b/>
          <w:color w:val="auto"/>
          <w:sz w:val="28"/>
          <w:szCs w:val="28"/>
          <w:highlight w:val="none"/>
        </w:rPr>
      </w:pPr>
    </w:p>
    <w:p w14:paraId="03D1C2DC">
      <w:pPr>
        <w:shd w:val="clear"/>
        <w:spacing w:line="360" w:lineRule="auto"/>
        <w:jc w:val="center"/>
        <w:rPr>
          <w:rFonts w:ascii="宋体" w:hAnsi="宋体" w:cs="宋体"/>
          <w:b/>
          <w:color w:val="auto"/>
          <w:sz w:val="28"/>
          <w:szCs w:val="28"/>
          <w:highlight w:val="none"/>
        </w:rPr>
      </w:pPr>
    </w:p>
    <w:p w14:paraId="3907DCCC">
      <w:pPr>
        <w:shd w:val="clear"/>
        <w:spacing w:line="360" w:lineRule="auto"/>
        <w:jc w:val="center"/>
        <w:rPr>
          <w:rFonts w:ascii="宋体" w:hAnsi="宋体" w:cs="宋体"/>
          <w:b/>
          <w:color w:val="auto"/>
          <w:sz w:val="28"/>
          <w:szCs w:val="28"/>
          <w:highlight w:val="none"/>
        </w:rPr>
      </w:pPr>
    </w:p>
    <w:p w14:paraId="50168842">
      <w:pPr>
        <w:shd w:val="clear"/>
        <w:spacing w:line="360" w:lineRule="auto"/>
        <w:jc w:val="center"/>
        <w:rPr>
          <w:rFonts w:ascii="宋体" w:hAnsi="宋体" w:cs="宋体"/>
          <w:b/>
          <w:color w:val="auto"/>
          <w:sz w:val="28"/>
          <w:szCs w:val="28"/>
          <w:highlight w:val="none"/>
        </w:rPr>
      </w:pPr>
    </w:p>
    <w:p w14:paraId="2D29A159">
      <w:pPr>
        <w:shd w:val="clear"/>
        <w:spacing w:after="120" w:line="360" w:lineRule="auto"/>
        <w:jc w:val="center"/>
        <w:rPr>
          <w:rFonts w:ascii="宋体" w:hAnsi="宋体" w:cs="宋体"/>
          <w:b/>
          <w:color w:val="auto"/>
          <w:sz w:val="28"/>
          <w:szCs w:val="28"/>
          <w:highlight w:val="none"/>
        </w:rPr>
      </w:pPr>
    </w:p>
    <w:p w14:paraId="174D8686">
      <w:pPr>
        <w:shd w:val="clear"/>
        <w:jc w:val="center"/>
        <w:rPr>
          <w:rFonts w:hint="default" w:ascii="宋体" w:hAnsi="宋体" w:eastAsia="宋体" w:cs="宋体"/>
          <w:color w:val="auto"/>
          <w:kern w:val="0"/>
          <w:sz w:val="24"/>
          <w:szCs w:val="24"/>
          <w:highlight w:val="none"/>
          <w:lang w:val="en-US" w:eastAsia="zh-CN"/>
        </w:rPr>
      </w:pPr>
      <w:r>
        <w:rPr>
          <w:rFonts w:hint="eastAsia" w:ascii="宋体" w:hAnsi="宋体" w:cs="宋体"/>
          <w:b/>
          <w:bCs/>
          <w:color w:val="auto"/>
          <w:kern w:val="0"/>
          <w:sz w:val="32"/>
          <w:szCs w:val="32"/>
          <w:highlight w:val="none"/>
        </w:rPr>
        <w:t>四、</w:t>
      </w:r>
      <w:r>
        <w:rPr>
          <w:rFonts w:hint="eastAsia" w:ascii="宋体" w:hAnsi="宋体" w:cs="宋体"/>
          <w:b/>
          <w:bCs/>
          <w:color w:val="auto"/>
          <w:kern w:val="0"/>
          <w:sz w:val="32"/>
          <w:szCs w:val="32"/>
          <w:highlight w:val="none"/>
          <w:lang w:val="en-US" w:eastAsia="zh-CN"/>
        </w:rPr>
        <w:t>人员配备</w:t>
      </w:r>
    </w:p>
    <w:p w14:paraId="7B739842">
      <w:pPr>
        <w:shd w:val="clear"/>
        <w:autoSpaceDE w:val="0"/>
        <w:autoSpaceDN w:val="0"/>
        <w:adjustRightInd w:val="0"/>
        <w:spacing w:line="200" w:lineRule="exact"/>
        <w:jc w:val="left"/>
        <w:rPr>
          <w:rFonts w:ascii="宋体" w:hAnsi="宋体" w:cs="宋体"/>
          <w:color w:val="auto"/>
          <w:kern w:val="0"/>
          <w:sz w:val="24"/>
          <w:szCs w:val="24"/>
          <w:highlight w:val="none"/>
        </w:rPr>
      </w:pPr>
    </w:p>
    <w:bookmarkEnd w:id="312"/>
    <w:bookmarkEnd w:id="313"/>
    <w:bookmarkEnd w:id="314"/>
    <w:p w14:paraId="72C43C66">
      <w:pPr>
        <w:jc w:val="center"/>
        <w:rPr>
          <w:rFonts w:ascii="宋体" w:hAnsi="宋体" w:eastAsia="宋体" w:cs="Times New Roman"/>
          <w:b/>
          <w:color w:val="auto"/>
          <w:highlight w:val="none"/>
        </w:rPr>
      </w:pPr>
      <w:bookmarkStart w:id="317" w:name="_Toc231892451"/>
      <w:bookmarkStart w:id="318" w:name="_Toc220232402"/>
      <w:bookmarkStart w:id="319" w:name="_Toc516969105"/>
      <w:bookmarkStart w:id="320" w:name="_Toc245520803"/>
      <w:r>
        <w:rPr>
          <w:rFonts w:ascii="宋体" w:hAnsi="宋体" w:eastAsia="宋体" w:cs="Times New Roman"/>
          <w:b/>
          <w:color w:val="auto"/>
          <w:highlight w:val="none"/>
        </w:rPr>
        <w:t>(</w:t>
      </w:r>
      <w:r>
        <w:rPr>
          <w:rFonts w:hint="eastAsia" w:ascii="宋体" w:hAnsi="宋体" w:eastAsia="宋体" w:cs="Times New Roman"/>
          <w:b/>
          <w:color w:val="auto"/>
          <w:highlight w:val="none"/>
          <w:lang w:val="en-US" w:eastAsia="zh-CN"/>
        </w:rPr>
        <w:t>投标人</w:t>
      </w:r>
      <w:r>
        <w:rPr>
          <w:rFonts w:ascii="宋体" w:hAnsi="宋体" w:eastAsia="宋体" w:cs="Times New Roman"/>
          <w:b/>
          <w:color w:val="auto"/>
          <w:highlight w:val="none"/>
        </w:rPr>
        <w:t>可自行制作格式)</w:t>
      </w:r>
    </w:p>
    <w:bookmarkEnd w:id="317"/>
    <w:bookmarkEnd w:id="318"/>
    <w:bookmarkEnd w:id="319"/>
    <w:bookmarkEnd w:id="320"/>
    <w:p w14:paraId="19580EF4">
      <w:pPr>
        <w:jc w:val="center"/>
        <w:rPr>
          <w:rFonts w:hint="default" w:ascii="Arial Black" w:hAnsi="Arial Black" w:eastAsia="黑体"/>
          <w:color w:val="auto"/>
          <w:spacing w:val="36"/>
          <w:szCs w:val="20"/>
          <w:highlight w:val="none"/>
          <w:lang w:val="en-US" w:eastAsia="zh-CN"/>
          <w14:shadow w14:blurRad="50800" w14:dist="38100" w14:dir="2700000" w14:sx="100000" w14:sy="100000" w14:kx="0" w14:ky="0" w14:algn="tl">
            <w14:srgbClr w14:val="000000">
              <w14:alpha w14:val="60000"/>
            </w14:srgbClr>
          </w14:shadow>
        </w:rPr>
      </w:pPr>
      <w:r>
        <w:rPr>
          <w:rFonts w:hint="eastAsia" w:ascii="Arial Black" w:hAnsi="Arial Black" w:eastAsia="黑体"/>
          <w:color w:val="auto"/>
          <w:spacing w:val="36"/>
          <w:szCs w:val="20"/>
          <w:highlight w:val="none"/>
          <w14:shadow w14:blurRad="50800" w14:dist="38100" w14:dir="2700000" w14:sx="100000" w14:sy="100000" w14:kx="0" w14:ky="0" w14:algn="tl">
            <w14:srgbClr w14:val="000000">
              <w14:alpha w14:val="60000"/>
            </w14:srgbClr>
          </w14:shadow>
        </w:rPr>
        <w:br w:type="page"/>
      </w:r>
      <w:r>
        <w:rPr>
          <w:rFonts w:hint="eastAsia" w:ascii="宋体" w:hAnsi="宋体" w:cs="宋体"/>
          <w:b/>
          <w:bCs/>
          <w:color w:val="auto"/>
          <w:kern w:val="0"/>
          <w:sz w:val="32"/>
          <w:szCs w:val="32"/>
          <w:highlight w:val="none"/>
          <w:lang w:val="en-US" w:eastAsia="zh-CN"/>
        </w:rPr>
        <w:t>五、服务方案</w:t>
      </w:r>
    </w:p>
    <w:p w14:paraId="6276D635">
      <w:pPr>
        <w:jc w:val="center"/>
        <w:rPr>
          <w:rFonts w:ascii="宋体" w:hAnsi="宋体" w:eastAsia="宋体" w:cs="Times New Roman"/>
          <w:b/>
          <w:color w:val="auto"/>
          <w:highlight w:val="none"/>
        </w:rPr>
      </w:pPr>
      <w:r>
        <w:rPr>
          <w:rFonts w:ascii="宋体" w:hAnsi="宋体" w:eastAsia="宋体" w:cs="Times New Roman"/>
          <w:b/>
          <w:color w:val="auto"/>
          <w:highlight w:val="none"/>
        </w:rPr>
        <w:t>(</w:t>
      </w:r>
      <w:r>
        <w:rPr>
          <w:rFonts w:hint="eastAsia" w:ascii="宋体" w:hAnsi="宋体" w:eastAsia="宋体" w:cs="Times New Roman"/>
          <w:b/>
          <w:color w:val="auto"/>
          <w:highlight w:val="none"/>
          <w:lang w:val="en-US" w:eastAsia="zh-CN"/>
        </w:rPr>
        <w:t>投标人</w:t>
      </w:r>
      <w:r>
        <w:rPr>
          <w:rFonts w:ascii="宋体" w:hAnsi="宋体" w:eastAsia="宋体" w:cs="Times New Roman"/>
          <w:b/>
          <w:color w:val="auto"/>
          <w:highlight w:val="none"/>
        </w:rPr>
        <w:t>可自行制作格式)</w:t>
      </w:r>
    </w:p>
    <w:p w14:paraId="2711961E">
      <w:pPr>
        <w:rPr>
          <w:rFonts w:hint="eastAsia" w:ascii="宋体" w:hAnsi="宋体" w:cs="宋体"/>
          <w:b/>
          <w:bCs/>
          <w:color w:val="auto"/>
          <w:kern w:val="0"/>
          <w:sz w:val="32"/>
          <w:szCs w:val="32"/>
          <w:highlight w:val="none"/>
        </w:rPr>
      </w:pPr>
    </w:p>
    <w:p w14:paraId="2DBC80FF">
      <w:pPr>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br w:type="page"/>
      </w:r>
    </w:p>
    <w:p w14:paraId="4C75BE01">
      <w:pPr>
        <w:widowControl/>
        <w:shd w:val="clear"/>
        <w:jc w:val="center"/>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lang w:val="en-US" w:eastAsia="zh-CN"/>
        </w:rPr>
        <w:t>六</w:t>
      </w:r>
      <w:r>
        <w:rPr>
          <w:rFonts w:hint="eastAsia" w:ascii="宋体" w:hAnsi="宋体" w:cs="宋体"/>
          <w:b/>
          <w:bCs/>
          <w:color w:val="auto"/>
          <w:kern w:val="0"/>
          <w:sz w:val="32"/>
          <w:szCs w:val="32"/>
          <w:highlight w:val="none"/>
        </w:rPr>
        <w:t>、其他资料</w:t>
      </w:r>
    </w:p>
    <w:p w14:paraId="6F1E5663">
      <w:pPr>
        <w:shd w:val="clear"/>
        <w:autoSpaceDE w:val="0"/>
        <w:autoSpaceDN w:val="0"/>
        <w:adjustRightInd w:val="0"/>
        <w:rPr>
          <w:rFonts w:ascii="宋体" w:hAnsi="宋体" w:cs="宋体"/>
          <w:color w:val="auto"/>
          <w:kern w:val="0"/>
          <w:sz w:val="24"/>
          <w:szCs w:val="24"/>
          <w:highlight w:val="none"/>
        </w:rPr>
      </w:pPr>
      <w:r>
        <w:rPr>
          <w:rFonts w:hint="eastAsia" w:ascii="宋体" w:hAnsi="宋体" w:cs="宋体"/>
          <w:color w:val="auto"/>
          <w:kern w:val="0"/>
          <w:sz w:val="24"/>
          <w:szCs w:val="24"/>
          <w:highlight w:val="none"/>
        </w:rPr>
        <w:t>根据招标文件要求，投标人认为需要补充的其他资料。</w:t>
      </w:r>
    </w:p>
    <w:p w14:paraId="5453DFF2">
      <w:pPr>
        <w:shd w:val="clear"/>
        <w:spacing w:line="360" w:lineRule="auto"/>
        <w:rPr>
          <w:rFonts w:ascii="宋体" w:hAnsi="宋体" w:cs="宋体"/>
          <w:color w:val="auto"/>
          <w:highlight w:val="none"/>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9D8F798-08A1-4686-AEB3-0A9A6EEDD38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5CB54883-416F-45D5-AA24-326FE517F1A3}"/>
  </w:font>
  <w:font w:name="Calibri Light">
    <w:panose1 w:val="020F0302020204030204"/>
    <w:charset w:val="00"/>
    <w:family w:val="swiss"/>
    <w:pitch w:val="default"/>
    <w:sig w:usb0="A00002EF" w:usb1="4000207B" w:usb2="00000000" w:usb3="00000000" w:csb0="2000019F" w:csb1="00000000"/>
  </w:font>
  <w:font w:name="方正仿宋简体">
    <w:panose1 w:val="02010601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embedRegular r:id="rId3" w:fontKey="{D8A1AB2E-E907-4424-9FCE-7640713C0B9A}"/>
  </w:font>
  <w:font w:name="Arial Black">
    <w:panose1 w:val="020B0A04020102020204"/>
    <w:charset w:val="00"/>
    <w:family w:val="swiss"/>
    <w:pitch w:val="default"/>
    <w:sig w:usb0="00000287" w:usb1="00000000" w:usb2="00000000" w:usb3="00000000" w:csb0="2000009F" w:csb1="DFD70000"/>
    <w:embedRegular r:id="rId4" w:fontKey="{26D1BD01-E60F-4A8A-B1BF-182024F68C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C7275">
    <w:pPr>
      <w:pStyle w:val="1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E77A25">
                          <w:pPr>
                            <w:pStyle w:val="10"/>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7E77A25">
                    <w:pPr>
                      <w:pStyle w:val="10"/>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94005" cy="283845"/>
              <wp:effectExtent l="0" t="0" r="0" b="0"/>
              <wp:wrapNone/>
              <wp:docPr id="2" name="文本框 2"/>
              <wp:cNvGraphicFramePr/>
              <a:graphic xmlns:a="http://schemas.openxmlformats.org/drawingml/2006/main">
                <a:graphicData uri="http://schemas.microsoft.com/office/word/2010/wordprocessingShape">
                  <wps:wsp>
                    <wps:cNvSpPr txBox="1"/>
                    <wps:spPr>
                      <a:xfrm>
                        <a:off x="0" y="0"/>
                        <a:ext cx="294005" cy="283845"/>
                      </a:xfrm>
                      <a:prstGeom prst="rect">
                        <a:avLst/>
                      </a:prstGeom>
                      <a:noFill/>
                      <a:ln>
                        <a:noFill/>
                      </a:ln>
                    </wps:spPr>
                    <wps:txbx>
                      <w:txbxContent>
                        <w:p w14:paraId="0DAFB993">
                          <w:pPr>
                            <w:pStyle w:val="10"/>
                            <w:jc w:val="center"/>
                          </w:pPr>
                        </w:p>
                        <w:p w14:paraId="55D3564B">
                          <w:pPr>
                            <w:pStyle w:val="10"/>
                          </w:pPr>
                        </w:p>
                      </w:txbxContent>
                    </wps:txbx>
                    <wps:bodyPr lIns="0" tIns="0" rIns="0" bIns="0" upright="1"/>
                  </wps:wsp>
                </a:graphicData>
              </a:graphic>
            </wp:anchor>
          </w:drawing>
        </mc:Choice>
        <mc:Fallback>
          <w:pict>
            <v:shape id="_x0000_s1026" o:spid="_x0000_s1026" o:spt="202" type="#_x0000_t202" style="position:absolute;left:0pt;margin-top:0pt;height:22.35pt;width:23.15pt;mso-position-horizontal:center;mso-position-horizontal-relative:margin;z-index:251659264;mso-width-relative:page;mso-height-relative:page;" filled="f" stroked="f" coordsize="21600,21600" o:gfxdata="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nCn7B0wAAAAMBAAAPAAAAAAAAAAEAIAAAACIAAABkcnMvZG93bnJldi54bWxQSwECFAAUAAAA&#10;CACHTuJAafydvroBAABxAwAADgAAAAAAAAABACAAAAAiAQAAZHJzL2Uyb0RvYy54bWxQSwUGAAAA&#10;AAYABgBZAQAATgUAAAAA&#10;">
              <v:fill on="f" focussize="0,0"/>
              <v:stroke on="f"/>
              <v:imagedata o:title=""/>
              <o:lock v:ext="edit" aspectratio="f"/>
              <v:textbox inset="0mm,0mm,0mm,0mm">
                <w:txbxContent>
                  <w:p w14:paraId="0DAFB993">
                    <w:pPr>
                      <w:pStyle w:val="10"/>
                      <w:jc w:val="center"/>
                    </w:pPr>
                  </w:p>
                  <w:p w14:paraId="55D3564B">
                    <w:pPr>
                      <w:pStyle w:val="10"/>
                    </w:pPr>
                  </w:p>
                </w:txbxContent>
              </v:textbox>
            </v:shape>
          </w:pict>
        </mc:Fallback>
      </mc:AlternateContent>
    </w:r>
  </w:p>
  <w:p w14:paraId="0572CE7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B548F">
    <w:pPr>
      <w:pStyle w:val="10"/>
      <w:jc w:val="center"/>
      <w:rPr>
        <w:rFonts w:ascii="宋体" w:hAnsi="宋体"/>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305FE9">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B305FE9">
                    <w:pPr>
                      <w:pStyle w:val="10"/>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E279A">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166E8">
                          <w:pPr>
                            <w:pStyle w:val="10"/>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33166E8">
                    <w:pPr>
                      <w:pStyle w:val="10"/>
                    </w:pPr>
                    <w:r>
                      <w:rPr>
                        <w:rFonts w:hint="eastAsia"/>
                      </w:rPr>
                      <w:fldChar w:fldCharType="begin"/>
                    </w:r>
                    <w:r>
                      <w:rPr>
                        <w:rFonts w:hint="eastAsia"/>
                      </w:rPr>
                      <w:instrText xml:space="preserve"> PAGE  \* MERGEFORMAT </w:instrText>
                    </w:r>
                    <w:r>
                      <w:rPr>
                        <w:rFonts w:hint="eastAsia"/>
                      </w:rPr>
                      <w:fldChar w:fldCharType="separate"/>
                    </w:r>
                    <w:r>
                      <w:t>48</w:t>
                    </w:r>
                    <w:r>
                      <w:rPr>
                        <w:rFonts w:hint="eastAsia"/>
                      </w:rPr>
                      <w:fldChar w:fldCharType="end"/>
                    </w:r>
                  </w:p>
                </w:txbxContent>
              </v:textbox>
            </v:shape>
          </w:pict>
        </mc:Fallback>
      </mc:AlternateContent>
    </w:r>
  </w:p>
  <w:p w14:paraId="0D2F8212"/>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lZTc2Yzk1NjA2NjBkYTBjYzIzMTU4ZjY3YzIzYTEifQ=="/>
  </w:docVars>
  <w:rsids>
    <w:rsidRoot w:val="439911A8"/>
    <w:rsid w:val="00016030"/>
    <w:rsid w:val="00034F97"/>
    <w:rsid w:val="00050FD2"/>
    <w:rsid w:val="0009679D"/>
    <w:rsid w:val="000A2E69"/>
    <w:rsid w:val="000A2FBF"/>
    <w:rsid w:val="000B3C1E"/>
    <w:rsid w:val="000C3A15"/>
    <w:rsid w:val="000C7C5C"/>
    <w:rsid w:val="000D1B68"/>
    <w:rsid w:val="000F62E0"/>
    <w:rsid w:val="000F6D20"/>
    <w:rsid w:val="001235E0"/>
    <w:rsid w:val="0014747D"/>
    <w:rsid w:val="001765CB"/>
    <w:rsid w:val="001A5283"/>
    <w:rsid w:val="001C22C4"/>
    <w:rsid w:val="00206290"/>
    <w:rsid w:val="00232BDF"/>
    <w:rsid w:val="002573FA"/>
    <w:rsid w:val="002804B1"/>
    <w:rsid w:val="00296730"/>
    <w:rsid w:val="002B022B"/>
    <w:rsid w:val="002B16F6"/>
    <w:rsid w:val="002C006A"/>
    <w:rsid w:val="002C2564"/>
    <w:rsid w:val="002C3B91"/>
    <w:rsid w:val="003218EC"/>
    <w:rsid w:val="00323428"/>
    <w:rsid w:val="00327E00"/>
    <w:rsid w:val="00331971"/>
    <w:rsid w:val="00371C93"/>
    <w:rsid w:val="00381815"/>
    <w:rsid w:val="0038235E"/>
    <w:rsid w:val="00397C78"/>
    <w:rsid w:val="003A4B38"/>
    <w:rsid w:val="003C00C8"/>
    <w:rsid w:val="003C2607"/>
    <w:rsid w:val="003C2C48"/>
    <w:rsid w:val="003D3A18"/>
    <w:rsid w:val="00443077"/>
    <w:rsid w:val="00473DA8"/>
    <w:rsid w:val="004B5DB7"/>
    <w:rsid w:val="004F5A17"/>
    <w:rsid w:val="00526880"/>
    <w:rsid w:val="00566F60"/>
    <w:rsid w:val="00647AA2"/>
    <w:rsid w:val="00650000"/>
    <w:rsid w:val="00671944"/>
    <w:rsid w:val="006A2EA6"/>
    <w:rsid w:val="006A4AB1"/>
    <w:rsid w:val="006F0F4D"/>
    <w:rsid w:val="006F2098"/>
    <w:rsid w:val="006F22C0"/>
    <w:rsid w:val="007200E4"/>
    <w:rsid w:val="007477F3"/>
    <w:rsid w:val="007C649A"/>
    <w:rsid w:val="007C7E1B"/>
    <w:rsid w:val="007D4DB4"/>
    <w:rsid w:val="00845766"/>
    <w:rsid w:val="00847A5B"/>
    <w:rsid w:val="00866FC5"/>
    <w:rsid w:val="00874E5F"/>
    <w:rsid w:val="00892635"/>
    <w:rsid w:val="008B0372"/>
    <w:rsid w:val="008D7A7A"/>
    <w:rsid w:val="008F26C5"/>
    <w:rsid w:val="009014FD"/>
    <w:rsid w:val="00912FA3"/>
    <w:rsid w:val="00956250"/>
    <w:rsid w:val="0096235E"/>
    <w:rsid w:val="00965FAA"/>
    <w:rsid w:val="00A434EA"/>
    <w:rsid w:val="00AB0FBE"/>
    <w:rsid w:val="00AC6A07"/>
    <w:rsid w:val="00B27004"/>
    <w:rsid w:val="00B34EFF"/>
    <w:rsid w:val="00B65AFD"/>
    <w:rsid w:val="00BA0D56"/>
    <w:rsid w:val="00BE2CF1"/>
    <w:rsid w:val="00C111A7"/>
    <w:rsid w:val="00C237B5"/>
    <w:rsid w:val="00C437B6"/>
    <w:rsid w:val="00C53830"/>
    <w:rsid w:val="00C8766F"/>
    <w:rsid w:val="00C95BE8"/>
    <w:rsid w:val="00CC0692"/>
    <w:rsid w:val="00CD513F"/>
    <w:rsid w:val="00CD6446"/>
    <w:rsid w:val="00D2732D"/>
    <w:rsid w:val="00D4154F"/>
    <w:rsid w:val="00D77F08"/>
    <w:rsid w:val="00DC3AC0"/>
    <w:rsid w:val="00E046B0"/>
    <w:rsid w:val="00E22420"/>
    <w:rsid w:val="00E37108"/>
    <w:rsid w:val="00E54ED3"/>
    <w:rsid w:val="00E70A70"/>
    <w:rsid w:val="00E74DC2"/>
    <w:rsid w:val="00E751D2"/>
    <w:rsid w:val="00EC3B14"/>
    <w:rsid w:val="00EE4333"/>
    <w:rsid w:val="00F15727"/>
    <w:rsid w:val="00F35F31"/>
    <w:rsid w:val="00F506AD"/>
    <w:rsid w:val="00F54657"/>
    <w:rsid w:val="00F64A9E"/>
    <w:rsid w:val="00F74987"/>
    <w:rsid w:val="00F84083"/>
    <w:rsid w:val="014C6B51"/>
    <w:rsid w:val="01A83742"/>
    <w:rsid w:val="01B01C6D"/>
    <w:rsid w:val="01EC121F"/>
    <w:rsid w:val="01EF5290"/>
    <w:rsid w:val="021A5819"/>
    <w:rsid w:val="027A7612"/>
    <w:rsid w:val="02A70BEA"/>
    <w:rsid w:val="02AE5763"/>
    <w:rsid w:val="03247659"/>
    <w:rsid w:val="03582C41"/>
    <w:rsid w:val="037C17D1"/>
    <w:rsid w:val="039550F0"/>
    <w:rsid w:val="03BD7DF2"/>
    <w:rsid w:val="03CD1A40"/>
    <w:rsid w:val="03E200B1"/>
    <w:rsid w:val="03F719EF"/>
    <w:rsid w:val="04273005"/>
    <w:rsid w:val="04342385"/>
    <w:rsid w:val="04BA0FD7"/>
    <w:rsid w:val="04C77900"/>
    <w:rsid w:val="050A41FE"/>
    <w:rsid w:val="050D6498"/>
    <w:rsid w:val="05830AE6"/>
    <w:rsid w:val="059B5540"/>
    <w:rsid w:val="05EB4BE0"/>
    <w:rsid w:val="06386F84"/>
    <w:rsid w:val="063A0125"/>
    <w:rsid w:val="067A59C9"/>
    <w:rsid w:val="07414C7E"/>
    <w:rsid w:val="074233DB"/>
    <w:rsid w:val="07486471"/>
    <w:rsid w:val="076800EE"/>
    <w:rsid w:val="078F546A"/>
    <w:rsid w:val="07BD6BA1"/>
    <w:rsid w:val="07C00A58"/>
    <w:rsid w:val="07D5160F"/>
    <w:rsid w:val="07D72EEC"/>
    <w:rsid w:val="07EE7038"/>
    <w:rsid w:val="07FE3422"/>
    <w:rsid w:val="088B7855"/>
    <w:rsid w:val="08F35280"/>
    <w:rsid w:val="08FD160B"/>
    <w:rsid w:val="095F39C5"/>
    <w:rsid w:val="09FF5ECD"/>
    <w:rsid w:val="0A886720"/>
    <w:rsid w:val="0ABD080F"/>
    <w:rsid w:val="0ACA1E97"/>
    <w:rsid w:val="0AD609BF"/>
    <w:rsid w:val="0ADD4EFD"/>
    <w:rsid w:val="0AE347C1"/>
    <w:rsid w:val="0B6902FF"/>
    <w:rsid w:val="0B9F5AFA"/>
    <w:rsid w:val="0BDD39B5"/>
    <w:rsid w:val="0BF01484"/>
    <w:rsid w:val="0BF02816"/>
    <w:rsid w:val="0C762B4C"/>
    <w:rsid w:val="0CA5290C"/>
    <w:rsid w:val="0CD940FB"/>
    <w:rsid w:val="0CF85DDF"/>
    <w:rsid w:val="0D502BB6"/>
    <w:rsid w:val="0D915C0B"/>
    <w:rsid w:val="0DAB4BFF"/>
    <w:rsid w:val="0DDF0D4D"/>
    <w:rsid w:val="0DED5218"/>
    <w:rsid w:val="0DF42106"/>
    <w:rsid w:val="0E190EE0"/>
    <w:rsid w:val="0E2B0F35"/>
    <w:rsid w:val="0EC00B7E"/>
    <w:rsid w:val="0F02540D"/>
    <w:rsid w:val="0F0767AD"/>
    <w:rsid w:val="0F274759"/>
    <w:rsid w:val="0F3F5F47"/>
    <w:rsid w:val="0F5E20A8"/>
    <w:rsid w:val="0F6C03BE"/>
    <w:rsid w:val="0F7015CF"/>
    <w:rsid w:val="0FA07D5A"/>
    <w:rsid w:val="0FA22032"/>
    <w:rsid w:val="0FA84C7E"/>
    <w:rsid w:val="0FE03949"/>
    <w:rsid w:val="101C0036"/>
    <w:rsid w:val="105E51A7"/>
    <w:rsid w:val="106A157A"/>
    <w:rsid w:val="10AA6068"/>
    <w:rsid w:val="10D35FEC"/>
    <w:rsid w:val="10EC3EC8"/>
    <w:rsid w:val="10F8556A"/>
    <w:rsid w:val="113D39E9"/>
    <w:rsid w:val="11472163"/>
    <w:rsid w:val="116309A4"/>
    <w:rsid w:val="12386C7D"/>
    <w:rsid w:val="1252526F"/>
    <w:rsid w:val="12596992"/>
    <w:rsid w:val="1280451A"/>
    <w:rsid w:val="12920D8B"/>
    <w:rsid w:val="12C30A10"/>
    <w:rsid w:val="12E97CCB"/>
    <w:rsid w:val="135A086B"/>
    <w:rsid w:val="135D7433"/>
    <w:rsid w:val="136F3FC8"/>
    <w:rsid w:val="138C102F"/>
    <w:rsid w:val="13CA4518"/>
    <w:rsid w:val="13EA6B70"/>
    <w:rsid w:val="14036F6F"/>
    <w:rsid w:val="1465799B"/>
    <w:rsid w:val="1478306A"/>
    <w:rsid w:val="14C03686"/>
    <w:rsid w:val="154816E2"/>
    <w:rsid w:val="15CB33F0"/>
    <w:rsid w:val="15D753C5"/>
    <w:rsid w:val="15E622AE"/>
    <w:rsid w:val="15F31839"/>
    <w:rsid w:val="16675C2C"/>
    <w:rsid w:val="16CE195E"/>
    <w:rsid w:val="16CF1FCD"/>
    <w:rsid w:val="16EB0762"/>
    <w:rsid w:val="17415D26"/>
    <w:rsid w:val="17490406"/>
    <w:rsid w:val="17AA5F28"/>
    <w:rsid w:val="182052CE"/>
    <w:rsid w:val="18581E27"/>
    <w:rsid w:val="18720FD0"/>
    <w:rsid w:val="18CA1B0C"/>
    <w:rsid w:val="18D1274D"/>
    <w:rsid w:val="18E05444"/>
    <w:rsid w:val="19064402"/>
    <w:rsid w:val="193E2DCB"/>
    <w:rsid w:val="19BD27DD"/>
    <w:rsid w:val="19D53F75"/>
    <w:rsid w:val="19DF10BD"/>
    <w:rsid w:val="1A3E68F9"/>
    <w:rsid w:val="1ACE4623"/>
    <w:rsid w:val="1AD649CB"/>
    <w:rsid w:val="1B256F00"/>
    <w:rsid w:val="1B7455D9"/>
    <w:rsid w:val="1B901339"/>
    <w:rsid w:val="1BD20669"/>
    <w:rsid w:val="1C401769"/>
    <w:rsid w:val="1C4F6712"/>
    <w:rsid w:val="1C6D20FE"/>
    <w:rsid w:val="1C7D1845"/>
    <w:rsid w:val="1D6B5BFB"/>
    <w:rsid w:val="1D8C58E2"/>
    <w:rsid w:val="1D931709"/>
    <w:rsid w:val="1DA13929"/>
    <w:rsid w:val="1DB56355"/>
    <w:rsid w:val="1DD74A63"/>
    <w:rsid w:val="1DF42207"/>
    <w:rsid w:val="1DF743A5"/>
    <w:rsid w:val="1E2706C7"/>
    <w:rsid w:val="1E2D3864"/>
    <w:rsid w:val="1E3666F3"/>
    <w:rsid w:val="1E4F1945"/>
    <w:rsid w:val="1E4F1FFD"/>
    <w:rsid w:val="1E5B78DA"/>
    <w:rsid w:val="1E74728F"/>
    <w:rsid w:val="1ECF520F"/>
    <w:rsid w:val="1F1244D3"/>
    <w:rsid w:val="1F3D2DB3"/>
    <w:rsid w:val="1F560814"/>
    <w:rsid w:val="1F771BF8"/>
    <w:rsid w:val="1F890B7E"/>
    <w:rsid w:val="1F970904"/>
    <w:rsid w:val="1FA910FD"/>
    <w:rsid w:val="1FE22E73"/>
    <w:rsid w:val="1FE902D0"/>
    <w:rsid w:val="200F67F0"/>
    <w:rsid w:val="20557BF1"/>
    <w:rsid w:val="206174CB"/>
    <w:rsid w:val="206B6B4F"/>
    <w:rsid w:val="20B8387F"/>
    <w:rsid w:val="20D35B0D"/>
    <w:rsid w:val="20E51210"/>
    <w:rsid w:val="20EE1821"/>
    <w:rsid w:val="213D605E"/>
    <w:rsid w:val="21A109EC"/>
    <w:rsid w:val="21E01604"/>
    <w:rsid w:val="22195FF3"/>
    <w:rsid w:val="222A0600"/>
    <w:rsid w:val="222C1217"/>
    <w:rsid w:val="22391854"/>
    <w:rsid w:val="227A731F"/>
    <w:rsid w:val="22B27B49"/>
    <w:rsid w:val="22D872E9"/>
    <w:rsid w:val="234F7600"/>
    <w:rsid w:val="237555BC"/>
    <w:rsid w:val="23AD3644"/>
    <w:rsid w:val="23AF4125"/>
    <w:rsid w:val="23B36E81"/>
    <w:rsid w:val="23CA00F7"/>
    <w:rsid w:val="24280900"/>
    <w:rsid w:val="2432177F"/>
    <w:rsid w:val="24DE1906"/>
    <w:rsid w:val="24F1107B"/>
    <w:rsid w:val="254A4E96"/>
    <w:rsid w:val="259B7E3C"/>
    <w:rsid w:val="25DD3CC5"/>
    <w:rsid w:val="25EF62FF"/>
    <w:rsid w:val="25F54BC3"/>
    <w:rsid w:val="264C3407"/>
    <w:rsid w:val="264E251D"/>
    <w:rsid w:val="266D34DF"/>
    <w:rsid w:val="268B39ED"/>
    <w:rsid w:val="268F4C30"/>
    <w:rsid w:val="26F33C66"/>
    <w:rsid w:val="276204FB"/>
    <w:rsid w:val="27980153"/>
    <w:rsid w:val="27E35C18"/>
    <w:rsid w:val="27EC7E96"/>
    <w:rsid w:val="28186220"/>
    <w:rsid w:val="281E4EB2"/>
    <w:rsid w:val="288E03F2"/>
    <w:rsid w:val="28CE58DC"/>
    <w:rsid w:val="2951382D"/>
    <w:rsid w:val="29617687"/>
    <w:rsid w:val="29AE2753"/>
    <w:rsid w:val="2A0561BE"/>
    <w:rsid w:val="2A19357D"/>
    <w:rsid w:val="2AB45A75"/>
    <w:rsid w:val="2ABF53FF"/>
    <w:rsid w:val="2AF07C9E"/>
    <w:rsid w:val="2B130C97"/>
    <w:rsid w:val="2B7103C3"/>
    <w:rsid w:val="2B906592"/>
    <w:rsid w:val="2C182424"/>
    <w:rsid w:val="2C6C741A"/>
    <w:rsid w:val="2CB04AF3"/>
    <w:rsid w:val="2CF667BA"/>
    <w:rsid w:val="2CFE0DFD"/>
    <w:rsid w:val="2D2D7E99"/>
    <w:rsid w:val="2D341A64"/>
    <w:rsid w:val="2D940DB4"/>
    <w:rsid w:val="2DAD507A"/>
    <w:rsid w:val="2DBD4DA3"/>
    <w:rsid w:val="2E147AD6"/>
    <w:rsid w:val="2E4C28BA"/>
    <w:rsid w:val="2E5267BF"/>
    <w:rsid w:val="2E59192D"/>
    <w:rsid w:val="2E7763D7"/>
    <w:rsid w:val="2EA717F9"/>
    <w:rsid w:val="2ED3590C"/>
    <w:rsid w:val="2EF15364"/>
    <w:rsid w:val="2EF46877"/>
    <w:rsid w:val="2EF73CF0"/>
    <w:rsid w:val="2F1C5505"/>
    <w:rsid w:val="2F6D353B"/>
    <w:rsid w:val="2FB46B0C"/>
    <w:rsid w:val="2FDB0F1C"/>
    <w:rsid w:val="306B4E7D"/>
    <w:rsid w:val="3070652E"/>
    <w:rsid w:val="30911194"/>
    <w:rsid w:val="30BD1BEA"/>
    <w:rsid w:val="318C6454"/>
    <w:rsid w:val="31D531CE"/>
    <w:rsid w:val="31FF66BF"/>
    <w:rsid w:val="328103A7"/>
    <w:rsid w:val="32C7244D"/>
    <w:rsid w:val="330F664A"/>
    <w:rsid w:val="33EA3DCF"/>
    <w:rsid w:val="34436E8B"/>
    <w:rsid w:val="34460CC7"/>
    <w:rsid w:val="34C00E94"/>
    <w:rsid w:val="34D7419F"/>
    <w:rsid w:val="34F72B88"/>
    <w:rsid w:val="35157B04"/>
    <w:rsid w:val="35264036"/>
    <w:rsid w:val="355B6DA6"/>
    <w:rsid w:val="357F7479"/>
    <w:rsid w:val="35970C78"/>
    <w:rsid w:val="359A5469"/>
    <w:rsid w:val="35B571BA"/>
    <w:rsid w:val="35E96F6C"/>
    <w:rsid w:val="36145188"/>
    <w:rsid w:val="36210F7F"/>
    <w:rsid w:val="365D7262"/>
    <w:rsid w:val="36850C07"/>
    <w:rsid w:val="37133692"/>
    <w:rsid w:val="37164F30"/>
    <w:rsid w:val="373B3185"/>
    <w:rsid w:val="3790092A"/>
    <w:rsid w:val="37AD5916"/>
    <w:rsid w:val="37B704C1"/>
    <w:rsid w:val="37DC53E8"/>
    <w:rsid w:val="38080F63"/>
    <w:rsid w:val="382F62A9"/>
    <w:rsid w:val="3862042D"/>
    <w:rsid w:val="38A82A8D"/>
    <w:rsid w:val="38FC247C"/>
    <w:rsid w:val="390F0669"/>
    <w:rsid w:val="39252533"/>
    <w:rsid w:val="39307E67"/>
    <w:rsid w:val="398057CB"/>
    <w:rsid w:val="39A502DD"/>
    <w:rsid w:val="39E97F5D"/>
    <w:rsid w:val="3A062425"/>
    <w:rsid w:val="3A3A7F55"/>
    <w:rsid w:val="3A4233A8"/>
    <w:rsid w:val="3A5A1166"/>
    <w:rsid w:val="3A781C3A"/>
    <w:rsid w:val="3AC16F61"/>
    <w:rsid w:val="3ACE34D6"/>
    <w:rsid w:val="3AF570B5"/>
    <w:rsid w:val="3B2D0303"/>
    <w:rsid w:val="3BAF0D53"/>
    <w:rsid w:val="3BB66200"/>
    <w:rsid w:val="3BF07AFD"/>
    <w:rsid w:val="3C00585C"/>
    <w:rsid w:val="3C117E67"/>
    <w:rsid w:val="3C6C1A8B"/>
    <w:rsid w:val="3C7F7092"/>
    <w:rsid w:val="3CA26483"/>
    <w:rsid w:val="3DAD4C2B"/>
    <w:rsid w:val="3DB532E4"/>
    <w:rsid w:val="3DBD4A37"/>
    <w:rsid w:val="3E477EFC"/>
    <w:rsid w:val="3E5509AE"/>
    <w:rsid w:val="3E8C4E22"/>
    <w:rsid w:val="3ECF4342"/>
    <w:rsid w:val="3F2C6F3F"/>
    <w:rsid w:val="3FAF4737"/>
    <w:rsid w:val="3FB026D5"/>
    <w:rsid w:val="3FE76D5C"/>
    <w:rsid w:val="40890521"/>
    <w:rsid w:val="40A02FB4"/>
    <w:rsid w:val="40D55514"/>
    <w:rsid w:val="40E46730"/>
    <w:rsid w:val="40EC0FC9"/>
    <w:rsid w:val="414609EA"/>
    <w:rsid w:val="41696700"/>
    <w:rsid w:val="41700255"/>
    <w:rsid w:val="41AC3C6F"/>
    <w:rsid w:val="42260C25"/>
    <w:rsid w:val="423B584A"/>
    <w:rsid w:val="428840CE"/>
    <w:rsid w:val="42973B02"/>
    <w:rsid w:val="42C20D3E"/>
    <w:rsid w:val="42E94003"/>
    <w:rsid w:val="430B3808"/>
    <w:rsid w:val="43223712"/>
    <w:rsid w:val="439911A8"/>
    <w:rsid w:val="43A94985"/>
    <w:rsid w:val="43BB3579"/>
    <w:rsid w:val="44854973"/>
    <w:rsid w:val="448E0C96"/>
    <w:rsid w:val="44C36F40"/>
    <w:rsid w:val="44E44EBC"/>
    <w:rsid w:val="450D34CE"/>
    <w:rsid w:val="45603609"/>
    <w:rsid w:val="45654B57"/>
    <w:rsid w:val="459F02CC"/>
    <w:rsid w:val="45DE4033"/>
    <w:rsid w:val="46072B40"/>
    <w:rsid w:val="461F3F1D"/>
    <w:rsid w:val="46475AB1"/>
    <w:rsid w:val="46657938"/>
    <w:rsid w:val="46814BFF"/>
    <w:rsid w:val="46A1238E"/>
    <w:rsid w:val="46A235A1"/>
    <w:rsid w:val="470E218F"/>
    <w:rsid w:val="472644DE"/>
    <w:rsid w:val="47523DD6"/>
    <w:rsid w:val="477A0BC3"/>
    <w:rsid w:val="47B2282D"/>
    <w:rsid w:val="483B2A48"/>
    <w:rsid w:val="48480CC1"/>
    <w:rsid w:val="49462350"/>
    <w:rsid w:val="49677B7D"/>
    <w:rsid w:val="499E503D"/>
    <w:rsid w:val="4A887909"/>
    <w:rsid w:val="4AB9550F"/>
    <w:rsid w:val="4B2278C8"/>
    <w:rsid w:val="4BA257B6"/>
    <w:rsid w:val="4C545397"/>
    <w:rsid w:val="4C76404F"/>
    <w:rsid w:val="4C7960C0"/>
    <w:rsid w:val="4D287146"/>
    <w:rsid w:val="4D30704B"/>
    <w:rsid w:val="4D4B0BAD"/>
    <w:rsid w:val="4D615A7E"/>
    <w:rsid w:val="4D8207D1"/>
    <w:rsid w:val="4DA10344"/>
    <w:rsid w:val="4E127DA7"/>
    <w:rsid w:val="4ED9377B"/>
    <w:rsid w:val="4F194FEC"/>
    <w:rsid w:val="4F3358F7"/>
    <w:rsid w:val="4F372DF5"/>
    <w:rsid w:val="4F701229"/>
    <w:rsid w:val="4F882E5A"/>
    <w:rsid w:val="4FB95EE6"/>
    <w:rsid w:val="4FD17B4E"/>
    <w:rsid w:val="4FD817B6"/>
    <w:rsid w:val="4FE969C6"/>
    <w:rsid w:val="500656EA"/>
    <w:rsid w:val="509B4084"/>
    <w:rsid w:val="510606C6"/>
    <w:rsid w:val="51484B3A"/>
    <w:rsid w:val="5180327A"/>
    <w:rsid w:val="51C15DB3"/>
    <w:rsid w:val="51DA3B1D"/>
    <w:rsid w:val="526D4123"/>
    <w:rsid w:val="52726D38"/>
    <w:rsid w:val="52933410"/>
    <w:rsid w:val="52CD06BD"/>
    <w:rsid w:val="52F81A51"/>
    <w:rsid w:val="535731A8"/>
    <w:rsid w:val="536F0699"/>
    <w:rsid w:val="537253B4"/>
    <w:rsid w:val="53AC0356"/>
    <w:rsid w:val="5401026A"/>
    <w:rsid w:val="542238A8"/>
    <w:rsid w:val="542D7344"/>
    <w:rsid w:val="543211B0"/>
    <w:rsid w:val="54385FC3"/>
    <w:rsid w:val="54841680"/>
    <w:rsid w:val="54BF0D1B"/>
    <w:rsid w:val="54E764DD"/>
    <w:rsid w:val="54EA3E92"/>
    <w:rsid w:val="54FF095A"/>
    <w:rsid w:val="558923BE"/>
    <w:rsid w:val="55DF2C65"/>
    <w:rsid w:val="56AB2D7B"/>
    <w:rsid w:val="571A69C2"/>
    <w:rsid w:val="572A4CB6"/>
    <w:rsid w:val="574B24B9"/>
    <w:rsid w:val="57A6405E"/>
    <w:rsid w:val="57E035B6"/>
    <w:rsid w:val="58614071"/>
    <w:rsid w:val="5897543F"/>
    <w:rsid w:val="597C6A1D"/>
    <w:rsid w:val="59BA2AB8"/>
    <w:rsid w:val="59BA330C"/>
    <w:rsid w:val="5A5C0DF3"/>
    <w:rsid w:val="5A850AC5"/>
    <w:rsid w:val="5AAE5B45"/>
    <w:rsid w:val="5B54465C"/>
    <w:rsid w:val="5B914F37"/>
    <w:rsid w:val="5BF934D3"/>
    <w:rsid w:val="5BFD3E45"/>
    <w:rsid w:val="5C0A0310"/>
    <w:rsid w:val="5C0A24DA"/>
    <w:rsid w:val="5C3727CC"/>
    <w:rsid w:val="5C5E749C"/>
    <w:rsid w:val="5D1C107F"/>
    <w:rsid w:val="5D6427F7"/>
    <w:rsid w:val="5E632E8F"/>
    <w:rsid w:val="5E86492D"/>
    <w:rsid w:val="5EB66668"/>
    <w:rsid w:val="5EBB68DA"/>
    <w:rsid w:val="5EDF7D2B"/>
    <w:rsid w:val="5EE14F8C"/>
    <w:rsid w:val="5F630463"/>
    <w:rsid w:val="5F735707"/>
    <w:rsid w:val="60B04E49"/>
    <w:rsid w:val="60B16603"/>
    <w:rsid w:val="60DE770B"/>
    <w:rsid w:val="611F1B92"/>
    <w:rsid w:val="6131514C"/>
    <w:rsid w:val="613C540F"/>
    <w:rsid w:val="613D6A07"/>
    <w:rsid w:val="614D4BC3"/>
    <w:rsid w:val="61593C76"/>
    <w:rsid w:val="618B0482"/>
    <w:rsid w:val="620D3E17"/>
    <w:rsid w:val="62631FDB"/>
    <w:rsid w:val="627B3D15"/>
    <w:rsid w:val="629E17B2"/>
    <w:rsid w:val="62D0427D"/>
    <w:rsid w:val="62E95F26"/>
    <w:rsid w:val="63174FCA"/>
    <w:rsid w:val="632B1B5B"/>
    <w:rsid w:val="6354027C"/>
    <w:rsid w:val="63575944"/>
    <w:rsid w:val="63612EA6"/>
    <w:rsid w:val="63AF3EDB"/>
    <w:rsid w:val="64041221"/>
    <w:rsid w:val="642D7291"/>
    <w:rsid w:val="643772D1"/>
    <w:rsid w:val="649B5AAD"/>
    <w:rsid w:val="659F3E77"/>
    <w:rsid w:val="65EB754C"/>
    <w:rsid w:val="660E26E7"/>
    <w:rsid w:val="664C792F"/>
    <w:rsid w:val="66500EAD"/>
    <w:rsid w:val="6660394E"/>
    <w:rsid w:val="668F31C3"/>
    <w:rsid w:val="6722055D"/>
    <w:rsid w:val="67985D48"/>
    <w:rsid w:val="679E571C"/>
    <w:rsid w:val="67A65679"/>
    <w:rsid w:val="67B70D66"/>
    <w:rsid w:val="67DB00B7"/>
    <w:rsid w:val="67E82CB0"/>
    <w:rsid w:val="67E954CB"/>
    <w:rsid w:val="680D1C9B"/>
    <w:rsid w:val="68290BB8"/>
    <w:rsid w:val="68800272"/>
    <w:rsid w:val="6888024C"/>
    <w:rsid w:val="68880F3A"/>
    <w:rsid w:val="688C2460"/>
    <w:rsid w:val="6896137A"/>
    <w:rsid w:val="68B93AF3"/>
    <w:rsid w:val="690F4D1F"/>
    <w:rsid w:val="69545972"/>
    <w:rsid w:val="69665D63"/>
    <w:rsid w:val="69C21AB9"/>
    <w:rsid w:val="69C24853"/>
    <w:rsid w:val="69D97F7C"/>
    <w:rsid w:val="69DA3ABA"/>
    <w:rsid w:val="69F654A4"/>
    <w:rsid w:val="69FA11BD"/>
    <w:rsid w:val="6A167142"/>
    <w:rsid w:val="6A507835"/>
    <w:rsid w:val="6A55309E"/>
    <w:rsid w:val="6AFE188D"/>
    <w:rsid w:val="6B340F05"/>
    <w:rsid w:val="6B460DA8"/>
    <w:rsid w:val="6B807824"/>
    <w:rsid w:val="6B83011C"/>
    <w:rsid w:val="6BA50055"/>
    <w:rsid w:val="6BCD0774"/>
    <w:rsid w:val="6BDA065F"/>
    <w:rsid w:val="6D0C2BFA"/>
    <w:rsid w:val="6D633856"/>
    <w:rsid w:val="6D824ABC"/>
    <w:rsid w:val="6D843A50"/>
    <w:rsid w:val="6DBF1B61"/>
    <w:rsid w:val="6DEC0645"/>
    <w:rsid w:val="6E207E0E"/>
    <w:rsid w:val="6E571373"/>
    <w:rsid w:val="6EA80F60"/>
    <w:rsid w:val="6EBE7228"/>
    <w:rsid w:val="6F0E7364"/>
    <w:rsid w:val="6F28733B"/>
    <w:rsid w:val="6F5C7B27"/>
    <w:rsid w:val="6F6D43E1"/>
    <w:rsid w:val="6FA4430E"/>
    <w:rsid w:val="6FB42615"/>
    <w:rsid w:val="70153B46"/>
    <w:rsid w:val="7019449C"/>
    <w:rsid w:val="701E424B"/>
    <w:rsid w:val="70366AFC"/>
    <w:rsid w:val="704B067C"/>
    <w:rsid w:val="71C056F8"/>
    <w:rsid w:val="71D82849"/>
    <w:rsid w:val="72045B48"/>
    <w:rsid w:val="720876E8"/>
    <w:rsid w:val="72A252EE"/>
    <w:rsid w:val="72D03C09"/>
    <w:rsid w:val="72ED47DA"/>
    <w:rsid w:val="730A4FB9"/>
    <w:rsid w:val="73266265"/>
    <w:rsid w:val="73377F29"/>
    <w:rsid w:val="73802053"/>
    <w:rsid w:val="739E3E26"/>
    <w:rsid w:val="73B7388D"/>
    <w:rsid w:val="73BB2CD4"/>
    <w:rsid w:val="73C7661F"/>
    <w:rsid w:val="73E20690"/>
    <w:rsid w:val="74085901"/>
    <w:rsid w:val="74197000"/>
    <w:rsid w:val="7425299E"/>
    <w:rsid w:val="749828F0"/>
    <w:rsid w:val="74D6302D"/>
    <w:rsid w:val="74E6194D"/>
    <w:rsid w:val="755231BD"/>
    <w:rsid w:val="757C0C86"/>
    <w:rsid w:val="75D67FA1"/>
    <w:rsid w:val="75DE0E11"/>
    <w:rsid w:val="762B0B2F"/>
    <w:rsid w:val="764E3D8F"/>
    <w:rsid w:val="767476EE"/>
    <w:rsid w:val="76C9499F"/>
    <w:rsid w:val="76D71BB5"/>
    <w:rsid w:val="77081940"/>
    <w:rsid w:val="77CB0223"/>
    <w:rsid w:val="77CB0E43"/>
    <w:rsid w:val="78396B23"/>
    <w:rsid w:val="787810D5"/>
    <w:rsid w:val="78A90FB2"/>
    <w:rsid w:val="78D258B3"/>
    <w:rsid w:val="78FB242B"/>
    <w:rsid w:val="791F6B26"/>
    <w:rsid w:val="79865D06"/>
    <w:rsid w:val="79A0266E"/>
    <w:rsid w:val="7A08012D"/>
    <w:rsid w:val="7A314C9A"/>
    <w:rsid w:val="7AB71B55"/>
    <w:rsid w:val="7AC878BC"/>
    <w:rsid w:val="7B0D2114"/>
    <w:rsid w:val="7B364A8F"/>
    <w:rsid w:val="7B3D3E06"/>
    <w:rsid w:val="7BAF04B8"/>
    <w:rsid w:val="7BEB19FB"/>
    <w:rsid w:val="7BF83275"/>
    <w:rsid w:val="7C605832"/>
    <w:rsid w:val="7D4565A4"/>
    <w:rsid w:val="7D6176A5"/>
    <w:rsid w:val="7DD118A7"/>
    <w:rsid w:val="7E1626EC"/>
    <w:rsid w:val="7E443428"/>
    <w:rsid w:val="7E6706EE"/>
    <w:rsid w:val="7EA321D2"/>
    <w:rsid w:val="7ECF1584"/>
    <w:rsid w:val="7F023B54"/>
    <w:rsid w:val="7F7141D8"/>
    <w:rsid w:val="7F774DCF"/>
    <w:rsid w:val="7FC009F0"/>
    <w:rsid w:val="7FE47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8"/>
    <w:qFormat/>
    <w:uiPriority w:val="0"/>
    <w:pPr>
      <w:keepNext/>
      <w:keepLines/>
      <w:spacing w:before="340" w:after="330" w:line="576"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qFormat/>
    <w:uiPriority w:val="0"/>
    <w:pPr>
      <w:keepNext/>
      <w:keepLines/>
      <w:spacing w:before="280" w:after="290" w:line="376" w:lineRule="auto"/>
      <w:outlineLvl w:val="3"/>
    </w:pPr>
    <w:rPr>
      <w:b/>
      <w:bCs/>
      <w:sz w:val="28"/>
      <w:szCs w:val="28"/>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5">
    <w:name w:val="toc 7"/>
    <w:basedOn w:val="1"/>
    <w:next w:val="1"/>
    <w:autoRedefine/>
    <w:qFormat/>
    <w:uiPriority w:val="0"/>
    <w:pPr>
      <w:ind w:left="1260"/>
      <w:jc w:val="left"/>
    </w:pPr>
    <w:rPr>
      <w:sz w:val="18"/>
      <w:szCs w:val="18"/>
    </w:rPr>
  </w:style>
  <w:style w:type="paragraph" w:styleId="6">
    <w:name w:val="annotation text"/>
    <w:basedOn w:val="1"/>
    <w:autoRedefine/>
    <w:qFormat/>
    <w:uiPriority w:val="0"/>
    <w:pPr>
      <w:jc w:val="left"/>
    </w:pPr>
  </w:style>
  <w:style w:type="paragraph" w:styleId="7">
    <w:name w:val="Body Text"/>
    <w:basedOn w:val="1"/>
    <w:autoRedefine/>
    <w:unhideWhenUsed/>
    <w:qFormat/>
    <w:uiPriority w:val="0"/>
    <w:pPr>
      <w:spacing w:after="120"/>
    </w:pPr>
    <w:rPr>
      <w:rFonts w:eastAsia="Times New Roman"/>
      <w:szCs w:val="20"/>
    </w:rPr>
  </w:style>
  <w:style w:type="paragraph" w:styleId="8">
    <w:name w:val="Body Text Indent"/>
    <w:basedOn w:val="1"/>
    <w:next w:val="9"/>
    <w:qFormat/>
    <w:uiPriority w:val="0"/>
    <w:pPr>
      <w:spacing w:after="120"/>
      <w:ind w:left="420" w:leftChars="200"/>
    </w:pPr>
  </w:style>
  <w:style w:type="paragraph" w:styleId="9">
    <w:name w:val="envelope return"/>
    <w:basedOn w:val="1"/>
    <w:qFormat/>
    <w:uiPriority w:val="0"/>
    <w:pPr>
      <w:widowControl/>
    </w:pPr>
    <w:rPr>
      <w:kern w:val="0"/>
      <w:sz w:val="22"/>
      <w:szCs w:val="20"/>
      <w:lang w:val="en-GB" w:eastAsia="en-US"/>
    </w:rPr>
  </w:style>
  <w:style w:type="paragraph" w:styleId="10">
    <w:name w:val="footer"/>
    <w:basedOn w:val="1"/>
    <w:autoRedefine/>
    <w:unhideWhenUsed/>
    <w:qFormat/>
    <w:uiPriority w:val="0"/>
    <w:pPr>
      <w:tabs>
        <w:tab w:val="center" w:pos="4153"/>
        <w:tab w:val="right" w:pos="8306"/>
      </w:tabs>
      <w:snapToGrid w:val="0"/>
      <w:jc w:val="left"/>
    </w:pPr>
    <w:rPr>
      <w:sz w:val="18"/>
      <w:szCs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0"/>
  </w:style>
  <w:style w:type="paragraph" w:styleId="13">
    <w:name w:val="List"/>
    <w:basedOn w:val="1"/>
    <w:autoRedefine/>
    <w:unhideWhenUsed/>
    <w:qFormat/>
    <w:uiPriority w:val="0"/>
    <w:pPr>
      <w:ind w:left="200" w:hanging="200" w:hangingChars="200"/>
      <w:contextualSpacing/>
    </w:pPr>
  </w:style>
  <w:style w:type="paragraph" w:styleId="14">
    <w:name w:val="Body Text First Indent 2"/>
    <w:basedOn w:val="8"/>
    <w:next w:val="13"/>
    <w:autoRedefine/>
    <w:qFormat/>
    <w:uiPriority w:val="0"/>
    <w:pPr>
      <w:ind w:firstLine="420" w:firstLineChars="200"/>
    </w:pPr>
  </w:style>
  <w:style w:type="character" w:styleId="17">
    <w:name w:val="Hyperlink"/>
    <w:basedOn w:val="16"/>
    <w:autoRedefine/>
    <w:qFormat/>
    <w:uiPriority w:val="0"/>
    <w:rPr>
      <w:rFonts w:cs="Times New Roman"/>
      <w:color w:val="0000FF"/>
      <w:u w:val="single"/>
    </w:rPr>
  </w:style>
  <w:style w:type="character" w:customStyle="1" w:styleId="18">
    <w:name w:val="标题 1 字符"/>
    <w:basedOn w:val="16"/>
    <w:link w:val="2"/>
    <w:autoRedefine/>
    <w:qFormat/>
    <w:uiPriority w:val="0"/>
    <w:rPr>
      <w:b/>
      <w:bCs/>
      <w:kern w:val="44"/>
      <w:sz w:val="44"/>
      <w:szCs w:val="44"/>
    </w:rPr>
  </w:style>
  <w:style w:type="table" w:customStyle="1" w:styleId="19">
    <w:name w:val="Table Normal"/>
    <w:unhideWhenUsed/>
    <w:qFormat/>
    <w:uiPriority w:val="2"/>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20">
    <w:name w:val="样式 标题 2 + Times New Roman 四号 非加粗 段前: 5 磅 段后: 0 磅 行距: 固定值 20..."/>
    <w:basedOn w:val="3"/>
    <w:autoRedefine/>
    <w:qFormat/>
    <w:uiPriority w:val="0"/>
    <w:pPr>
      <w:spacing w:before="100" w:after="0" w:line="400" w:lineRule="exact"/>
      <w:ind w:firstLine="628"/>
      <w:jc w:val="center"/>
    </w:pPr>
    <w:rPr>
      <w:rFonts w:ascii="Times New Roman" w:hAnsi="Times New Roman" w:eastAsia="黑体" w:cs="Times New Roman"/>
      <w:b w:val="0"/>
      <w:bCs w:val="0"/>
      <w:sz w:val="28"/>
      <w:szCs w:val="28"/>
    </w:rPr>
  </w:style>
  <w:style w:type="paragraph" w:customStyle="1" w:styleId="21">
    <w:name w:val="xl31"/>
    <w:basedOn w:val="1"/>
    <w:autoRedefine/>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10898</Words>
  <Characters>11723</Characters>
  <Lines>192</Lines>
  <Paragraphs>54</Paragraphs>
  <TotalTime>10</TotalTime>
  <ScaleCrop>false</ScaleCrop>
  <LinksUpToDate>false</LinksUpToDate>
  <CharactersWithSpaces>12018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2023-05-08T08:24:00Z</dcterms:created>
  <dc:creator>不懂²</dc:creator>
  <cp:lastModifiedBy>陈慧华</cp:lastModifiedBy>
  <cp:lastPrinted>2023-05-09T08:36:00Z</cp:lastPrinted>
  <dcterms:modified xsi:type="dcterms:W3CDTF">2025-04-02T08:31:13Z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62F7AE5204794A01A11A9A883E75A612_12</vt:lpwstr>
  </property>
  <property fmtid="{D5CDD505-2E9C-101B-9397-08002B2CF9AE}" pid="4" name="KSOTemplateDocerSaveRecord">
    <vt:lpwstr>eyJoZGlkIjoiMWI2ODFkN2QxZmI3OWI2NWY3Y2ZiNDFhYmVmZjVhOTkiLCJ1c2VySWQiOiIzMTE3NDM0ODgifQ==</vt:lpwstr>
  </property>
</Properties>
</file>